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png" ContentType="image/png"/>
  <Override PartName="/word/media/image5.jpeg" ContentType="image/jpeg"/>
  <Override PartName="/word/embeddings/oleObject1.bin" ContentType="application/vnd.openxmlformats-officedocument.oleObject"/>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Calibri"/>
          <w:sz w:val="28"/>
          <w:szCs w:val="28"/>
        </w:rPr>
      </w:pPr>
      <w:r>
        <w:rPr/>
        <w:drawing>
          <wp:inline distT="0" distB="0" distL="0" distR="0">
            <wp:extent cx="511810" cy="62611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258" t="-1033" r="-1258" b="-1033"/>
                    <a:stretch>
                      <a:fillRect/>
                    </a:stretch>
                  </pic:blipFill>
                  <pic:spPr bwMode="auto">
                    <a:xfrm>
                      <a:off x="0" y="0"/>
                      <a:ext cx="511810" cy="626110"/>
                    </a:xfrm>
                    <a:prstGeom prst="rect">
                      <a:avLst/>
                    </a:prstGeom>
                  </pic:spPr>
                </pic:pic>
              </a:graphicData>
            </a:graphic>
          </wp:inline>
        </w:drawing>
      </w:r>
    </w:p>
    <w:p>
      <w:pPr>
        <w:pStyle w:val="Normal"/>
        <w:jc w:val="center"/>
        <w:rPr>
          <w:b/>
          <w:b/>
          <w:sz w:val="28"/>
          <w:szCs w:val="28"/>
        </w:rPr>
      </w:pPr>
      <w:r>
        <w:rPr>
          <w:b/>
          <w:sz w:val="28"/>
          <w:szCs w:val="28"/>
        </w:rPr>
        <w:t>ДУМА</w:t>
      </w:r>
    </w:p>
    <w:p>
      <w:pPr>
        <w:pStyle w:val="Normal"/>
        <w:jc w:val="center"/>
        <w:rPr>
          <w:b/>
          <w:b/>
          <w:sz w:val="28"/>
          <w:szCs w:val="28"/>
        </w:rPr>
      </w:pPr>
      <w:r>
        <w:rPr>
          <w:b/>
          <w:sz w:val="28"/>
          <w:szCs w:val="28"/>
        </w:rPr>
        <w:t>КУДЫМКАРСКОГО МУНИЦИПАЛЬНОГО ОКРУГА</w:t>
      </w:r>
    </w:p>
    <w:p>
      <w:pPr>
        <w:pStyle w:val="Normal"/>
        <w:spacing w:lineRule="auto" w:line="360"/>
        <w:jc w:val="center"/>
        <w:rPr>
          <w:b/>
          <w:b/>
          <w:sz w:val="28"/>
          <w:szCs w:val="28"/>
        </w:rPr>
      </w:pPr>
      <w:r>
        <w:rPr>
          <w:b/>
          <w:sz w:val="28"/>
          <w:szCs w:val="28"/>
        </w:rPr>
        <w:t>ПЕРМСКОГО КРАЯ</w:t>
      </w:r>
    </w:p>
    <w:p>
      <w:pPr>
        <w:pStyle w:val="Normal"/>
        <w:jc w:val="center"/>
        <w:rPr>
          <w:b/>
          <w:b/>
          <w:sz w:val="28"/>
          <w:szCs w:val="28"/>
        </w:rPr>
      </w:pPr>
      <w:r>
        <w:rPr>
          <w:b/>
          <w:sz w:val="28"/>
          <w:szCs w:val="28"/>
        </w:rPr>
        <w:t>ПЕРВЫЙ СОЗЫВ</w:t>
      </w:r>
    </w:p>
    <w:p>
      <w:pPr>
        <w:pStyle w:val="Normal"/>
        <w:spacing w:lineRule="auto" w:line="360" w:before="240" w:after="0"/>
        <w:jc w:val="center"/>
        <w:rPr>
          <w:b/>
          <w:b/>
          <w:sz w:val="28"/>
          <w:szCs w:val="28"/>
        </w:rPr>
      </w:pPr>
      <w:r>
        <w:rPr>
          <w:b/>
          <w:sz w:val="28"/>
          <w:szCs w:val="28"/>
        </w:rPr>
        <w:t>Р Е Ш Е Н И Е</w:t>
      </w:r>
    </w:p>
    <w:p>
      <w:pPr>
        <w:pStyle w:val="Normal"/>
        <w:keepNext w:val="true"/>
        <w:widowControl w:val="false"/>
        <w:spacing w:lineRule="auto" w:line="360"/>
        <w:rPr>
          <w:rFonts w:eastAsia="Arial"/>
          <w:b/>
          <w:b/>
          <w:bCs/>
          <w:sz w:val="28"/>
          <w:szCs w:val="28"/>
          <w:lang w:eastAsia="en-US" w:bidi="en-US"/>
        </w:rPr>
      </w:pPr>
      <w:r>
        <w:rPr>
          <w:rFonts w:eastAsia="Calibri"/>
          <w:sz w:val="28"/>
          <w:szCs w:val="28"/>
          <w:lang w:eastAsia="ar-SA"/>
        </w:rPr>
        <w:t>28.12.2022                                                                                                                №</w:t>
      </w:r>
      <w:r>
        <w:rPr>
          <w:rFonts w:eastAsia="Arial"/>
          <w:sz w:val="28"/>
          <w:szCs w:val="28"/>
          <w:lang w:eastAsia="en-US" w:bidi="en-US"/>
        </w:rPr>
        <w:t xml:space="preserve"> 101</w:t>
      </w:r>
    </w:p>
    <w:p>
      <w:pPr>
        <w:pStyle w:val="Normal"/>
        <w:widowControl w:val="false"/>
        <w:ind w:right="1984" w:hanging="0"/>
        <w:jc w:val="both"/>
        <w:rPr>
          <w:rFonts w:eastAsia="Arial"/>
          <w:b/>
          <w:b/>
          <w:bCs/>
          <w:sz w:val="28"/>
          <w:szCs w:val="28"/>
          <w:lang w:eastAsia="en-US" w:bidi="en-US"/>
        </w:rPr>
      </w:pPr>
      <w:r>
        <w:rPr>
          <w:rFonts w:eastAsia="Calibri"/>
          <w:b/>
          <w:sz w:val="28"/>
          <w:szCs w:val="28"/>
          <w:lang w:eastAsia="ar-SA"/>
        </w:rPr>
        <w:t>Об официальных символах (гербе и флаге) Кудымкарского муниципального округа Пермского края</w:t>
      </w:r>
    </w:p>
    <w:p>
      <w:pPr>
        <w:pStyle w:val="Normal"/>
        <w:rPr>
          <w:rFonts w:eastAsia="Calibri"/>
          <w:sz w:val="28"/>
          <w:szCs w:val="28"/>
          <w:lang w:eastAsia="ar-SA"/>
        </w:rPr>
      </w:pPr>
      <w:r>
        <w:rPr>
          <w:rFonts w:eastAsia="Calibri"/>
          <w:sz w:val="28"/>
          <w:szCs w:val="28"/>
          <w:lang w:eastAsia="ar-SA"/>
        </w:rPr>
      </w:r>
    </w:p>
    <w:p>
      <w:pPr>
        <w:pStyle w:val="21"/>
        <w:shd w:val="clear" w:color="auto" w:fill="auto"/>
        <w:spacing w:before="0" w:after="0"/>
        <w:ind w:firstLine="567"/>
        <w:jc w:val="both"/>
        <w:rPr>
          <w:color w:val="000000"/>
        </w:rPr>
      </w:pPr>
      <w:r>
        <w:rPr>
          <w:color w:val="000000"/>
          <w:lang w:eastAsia="ru-RU" w:bidi="ru-RU"/>
        </w:rPr>
        <w:t xml:space="preserve">В соответствии со статьей 9 Федерального закона от 6 октября 2003 года № 131-ФЗ «Об общих принципах организации местного самоуправления в Российской Федерации», Законом </w:t>
      </w:r>
      <w:r>
        <w:rPr>
          <w:color w:val="000000"/>
        </w:rPr>
        <w:t>Пермского края от 27.01.2022 года № 40-ПК «Об образовании нового муниципального образования Кудымкарский муниципальный округ Пермского края</w:t>
      </w:r>
      <w:r>
        <w:rPr>
          <w:rFonts w:eastAsia="Arial Unicode MS"/>
          <w:color w:val="000000"/>
          <w:lang w:bidi="ru-RU"/>
        </w:rPr>
        <w:t>»,</w:t>
      </w:r>
      <w:r>
        <w:rPr/>
        <w:t xml:space="preserve"> статьей 3 Устава Кудымкарского муниципального округа Пермского края, Дума Кудымкарского муниципального округа Пермского края</w:t>
      </w:r>
    </w:p>
    <w:p>
      <w:pPr>
        <w:pStyle w:val="Normal"/>
        <w:spacing w:lineRule="auto" w:line="360"/>
        <w:ind w:firstLine="567"/>
        <w:jc w:val="both"/>
        <w:rPr>
          <w:sz w:val="28"/>
          <w:szCs w:val="28"/>
        </w:rPr>
      </w:pPr>
      <w:r>
        <w:rPr>
          <w:sz w:val="28"/>
          <w:szCs w:val="28"/>
        </w:rPr>
        <w:t>РЕШАЕТ:</w:t>
      </w:r>
    </w:p>
    <w:p>
      <w:pPr>
        <w:pStyle w:val="Normal"/>
        <w:ind w:firstLine="567"/>
        <w:jc w:val="both"/>
        <w:rPr/>
      </w:pPr>
      <w:r>
        <w:rPr>
          <w:sz w:val="28"/>
          <w:szCs w:val="28"/>
        </w:rPr>
        <w:t>1. Установить герб и флаг Кудымкарского муниципального округа Пермского края в качестве официальных символов Кудымкарского муниципального округа Пермского края.</w:t>
      </w:r>
    </w:p>
    <w:p>
      <w:pPr>
        <w:pStyle w:val="Normal"/>
        <w:ind w:firstLine="567"/>
        <w:jc w:val="both"/>
        <w:rPr/>
      </w:pPr>
      <w:r>
        <w:rPr>
          <w:sz w:val="28"/>
          <w:szCs w:val="28"/>
        </w:rPr>
        <w:t>2. Утвердить прилагаемое Положение о Гербе Кудымкарского муниципального округа Пермского края.</w:t>
      </w:r>
    </w:p>
    <w:p>
      <w:pPr>
        <w:pStyle w:val="Normal"/>
        <w:widowControl w:val="false"/>
        <w:ind w:firstLine="567"/>
        <w:jc w:val="both"/>
        <w:rPr>
          <w:sz w:val="28"/>
          <w:szCs w:val="28"/>
        </w:rPr>
      </w:pPr>
      <w:r>
        <w:rPr>
          <w:sz w:val="28"/>
          <w:szCs w:val="28"/>
        </w:rPr>
        <w:t>3. Утвердить прилагаемое Положение о Флаге Кудымкарского муниципального округа Пермского края.</w:t>
      </w:r>
    </w:p>
    <w:p>
      <w:pPr>
        <w:pStyle w:val="Normal"/>
        <w:widowControl w:val="false"/>
        <w:ind w:firstLine="567"/>
        <w:jc w:val="both"/>
        <w:rPr>
          <w:rFonts w:eastAsia="Arial Unicode MS"/>
          <w:color w:val="000000"/>
          <w:sz w:val="28"/>
          <w:szCs w:val="28"/>
          <w:lang w:bidi="ru-RU"/>
        </w:rPr>
      </w:pPr>
      <w:r>
        <w:rPr>
          <w:sz w:val="28"/>
          <w:szCs w:val="28"/>
        </w:rPr>
        <w:t xml:space="preserve">4. </w:t>
      </w:r>
      <w:r>
        <w:rPr>
          <w:rFonts w:eastAsia="Arial Unicode MS"/>
          <w:color w:val="000000"/>
          <w:sz w:val="28"/>
          <w:szCs w:val="28"/>
          <w:lang w:bidi="ru-RU"/>
        </w:rPr>
        <w:t>Признать утратившим силу решение Думы Кудымкарского муниципального округа Пермского края от 30.01.2020 № 12 «</w:t>
      </w:r>
      <w:r>
        <w:rPr>
          <w:sz w:val="28"/>
          <w:szCs w:val="28"/>
        </w:rPr>
        <w:t>Об официальных символах (гербе и флаге) Кудымкарского муниципального округа Пермского края»</w:t>
      </w:r>
      <w:r>
        <w:rPr>
          <w:rFonts w:eastAsia="Arial Unicode MS"/>
          <w:color w:val="000000"/>
          <w:sz w:val="28"/>
          <w:szCs w:val="28"/>
          <w:lang w:bidi="ru-RU"/>
        </w:rPr>
        <w:t>.</w:t>
      </w:r>
    </w:p>
    <w:p>
      <w:pPr>
        <w:pStyle w:val="Normal"/>
        <w:ind w:firstLine="567"/>
        <w:jc w:val="both"/>
        <w:rPr>
          <w:sz w:val="28"/>
          <w:szCs w:val="28"/>
        </w:rPr>
      </w:pPr>
      <w:r>
        <w:rPr>
          <w:sz w:val="28"/>
          <w:szCs w:val="28"/>
        </w:rPr>
        <w:t xml:space="preserve">5. Поручить главе муниципального округа – главе администрации Кудымкарского муниципального округа Пермского края зарегистрировать официальные символы (Герб и Флаг) Кудымкарского муниципального округа Пермского края в порядке, установленном федеральным законодательством с ходатайством перед Геральдическим советом при Президенте Российской Федерации о сохранении номеров регистрации официальных символов </w:t>
      </w:r>
      <w:r>
        <w:rPr>
          <w:rFonts w:eastAsia="Arial Unicode MS"/>
          <w:color w:val="000000"/>
          <w:sz w:val="28"/>
          <w:szCs w:val="28"/>
          <w:lang w:bidi="ru-RU"/>
        </w:rPr>
        <w:t>Кудымкарского муниципального округа (герб №7017 и флаг №7018) за официальными символами Кудымкарского муниципального округа Пермского края</w:t>
      </w:r>
      <w:r>
        <w:rPr>
          <w:sz w:val="28"/>
          <w:szCs w:val="28"/>
        </w:rPr>
        <w:t>.</w:t>
      </w:r>
    </w:p>
    <w:p>
      <w:pPr>
        <w:pStyle w:val="Normal"/>
        <w:ind w:firstLine="567"/>
        <w:jc w:val="both"/>
        <w:rPr>
          <w:sz w:val="28"/>
          <w:szCs w:val="28"/>
        </w:rPr>
      </w:pPr>
      <w:r>
        <w:rPr>
          <w:sz w:val="28"/>
          <w:szCs w:val="28"/>
        </w:rPr>
        <w:t xml:space="preserve">6. Признать памятниками историко-культурного наследия </w:t>
      </w:r>
      <w:r>
        <w:rPr>
          <w:rFonts w:eastAsia="Arial Unicode MS"/>
          <w:color w:val="000000"/>
          <w:sz w:val="28"/>
          <w:szCs w:val="28"/>
          <w:lang w:bidi="ru-RU"/>
        </w:rPr>
        <w:t>Кудымкарского муниципального</w:t>
      </w:r>
      <w:r>
        <w:rPr>
          <w:iCs/>
          <w:sz w:val="28"/>
          <w:szCs w:val="28"/>
        </w:rPr>
        <w:t xml:space="preserve"> округа</w:t>
      </w:r>
      <w:r>
        <w:rPr>
          <w:sz w:val="28"/>
          <w:szCs w:val="28"/>
        </w:rPr>
        <w:t xml:space="preserve"> Пермского края символику города Кудымкар (ранее городского округа, утвержденную решениями Думы муниципального образования «Городской округ - город Кудымкар»: герб решением от </w:t>
      </w:r>
      <w:r>
        <w:rPr>
          <w:rFonts w:eastAsia="MS Mincho"/>
          <w:sz w:val="28"/>
          <w:szCs w:val="28"/>
        </w:rPr>
        <w:t xml:space="preserve">25.04.2008 г. </w:t>
      </w:r>
      <w:r>
        <w:rPr>
          <w:sz w:val="28"/>
          <w:szCs w:val="28"/>
        </w:rPr>
        <w:t xml:space="preserve">№ 57 и внесенный в Государственный геральдический регистр под №4017; флаг решением от </w:t>
      </w:r>
      <w:r>
        <w:rPr>
          <w:rFonts w:eastAsia="MS Mincho"/>
          <w:sz w:val="28"/>
          <w:szCs w:val="28"/>
        </w:rPr>
        <w:t xml:space="preserve">30.04.2010 г. </w:t>
      </w:r>
      <w:r>
        <w:rPr>
          <w:sz w:val="28"/>
          <w:szCs w:val="28"/>
        </w:rPr>
        <w:t>№ 35 и внесенный в Государственный геральдический регистр под №6103)</w:t>
      </w:r>
      <w:r>
        <w:rPr>
          <w:color w:val="000000"/>
          <w:sz w:val="28"/>
          <w:szCs w:val="28"/>
        </w:rPr>
        <w:t xml:space="preserve"> и символику Верх-Иньвенского сельского поселения Кудымкарского муниципального района Коми-Пермяцкий АО, утвержденную решением Совета депутатов Верх-Иньвенского сельского поселения от от 16.05.2011 г. № 12 и внесенную в Государственный геральдический регистр – герб под №6934 и флаг под №6935) – с </w:t>
      </w:r>
      <w:r>
        <w:rPr>
          <w:sz w:val="28"/>
          <w:szCs w:val="28"/>
        </w:rPr>
        <w:t>целью сохранения исторического и культурного наследия.</w:t>
      </w:r>
    </w:p>
    <w:p>
      <w:pPr>
        <w:pStyle w:val="Normal"/>
        <w:ind w:firstLine="567"/>
        <w:jc w:val="both"/>
        <w:rPr>
          <w:sz w:val="28"/>
          <w:szCs w:val="28"/>
        </w:rPr>
      </w:pPr>
      <w:r>
        <w:rPr>
          <w:sz w:val="28"/>
          <w:szCs w:val="28"/>
        </w:rPr>
        <w:t xml:space="preserve">Допускается использовать изображения герба и </w:t>
      </w:r>
      <w:r>
        <w:rPr>
          <w:sz w:val="28"/>
          <w:szCs w:val="28"/>
          <w:shd w:fill="FFFFFF" w:val="clear"/>
        </w:rPr>
        <w:t>флага на бланках награждении и поощрений, при оформлении различных культурно-массовых мероприятий, во время проведения спортивных соревнований, в качестве наглядной агитации, при изготовлении рекламной и сувенирной продукции.</w:t>
      </w:r>
    </w:p>
    <w:p>
      <w:pPr>
        <w:pStyle w:val="Normal"/>
        <w:ind w:firstLine="567"/>
        <w:jc w:val="both"/>
        <w:rPr/>
      </w:pPr>
      <w:r>
        <w:rPr>
          <w:sz w:val="28"/>
          <w:szCs w:val="28"/>
        </w:rPr>
        <w:t xml:space="preserve">7. </w:t>
      </w:r>
      <w:r>
        <w:rPr>
          <w:rFonts w:eastAsia="Arial"/>
          <w:sz w:val="28"/>
          <w:szCs w:val="28"/>
          <w:shd w:fill="FFFFFF" w:val="clear"/>
          <w:lang w:eastAsia="en-US" w:bidi="en-US"/>
        </w:rPr>
        <w:t>Опубликовать настоящее решение в средствах массовой информации: газета «Парма» и</w:t>
      </w:r>
      <w:r>
        <w:rPr>
          <w:rFonts w:eastAsia="Calibri"/>
          <w:sz w:val="28"/>
          <w:szCs w:val="28"/>
          <w:lang w:eastAsia="en-US" w:bidi="en-US"/>
        </w:rPr>
        <w:t xml:space="preserve"> </w:t>
      </w:r>
      <w:r>
        <w:rPr>
          <w:sz w:val="28"/>
          <w:szCs w:val="28"/>
        </w:rPr>
        <w:t>«Официальный сайт муниципального образования «Городской округ – город Кудымкар».</w:t>
      </w:r>
    </w:p>
    <w:p>
      <w:pPr>
        <w:pStyle w:val="Normal"/>
        <w:ind w:firstLine="567"/>
        <w:jc w:val="both"/>
        <w:rPr>
          <w:sz w:val="28"/>
          <w:szCs w:val="28"/>
        </w:rPr>
      </w:pPr>
      <w:r>
        <w:rPr>
          <w:sz w:val="28"/>
          <w:szCs w:val="28"/>
        </w:rPr>
        <w:t>8. Настоящее решение вступает в силу после его официального опубликования.</w:t>
      </w:r>
    </w:p>
    <w:p>
      <w:pPr>
        <w:pStyle w:val="Normal"/>
        <w:ind w:firstLine="567"/>
        <w:jc w:val="both"/>
        <w:rPr>
          <w:sz w:val="28"/>
          <w:szCs w:val="28"/>
        </w:rPr>
      </w:pPr>
      <w:r>
        <w:rPr>
          <w:sz w:val="28"/>
          <w:szCs w:val="28"/>
        </w:rPr>
        <w:t>9. Контроль исполнения решения возложить на председателя Думы Кудымкарского муниципального округа Пермского края.</w:t>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tbl>
      <w:tblPr>
        <w:tblpPr w:bottomFromText="0" w:horzAnchor="margin" w:leftFromText="180" w:rightFromText="180" w:tblpX="0" w:tblpY="68" w:topFromText="0" w:vertAnchor="text"/>
        <w:tblW w:w="10173"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069"/>
        <w:gridCol w:w="5103"/>
      </w:tblGrid>
      <w:tr>
        <w:trPr/>
        <w:tc>
          <w:tcPr>
            <w:tcW w:w="5069" w:type="dxa"/>
            <w:tcBorders/>
            <w:shd w:color="auto" w:fill="auto" w:val="clear"/>
          </w:tcPr>
          <w:p>
            <w:pPr>
              <w:pStyle w:val="Normal"/>
              <w:widowControl w:val="false"/>
              <w:rPr>
                <w:sz w:val="28"/>
                <w:szCs w:val="28"/>
              </w:rPr>
            </w:pPr>
            <w:r>
              <w:rPr>
                <w:sz w:val="28"/>
                <w:szCs w:val="28"/>
              </w:rPr>
              <w:t>Председатель Думы</w:t>
            </w:r>
          </w:p>
          <w:p>
            <w:pPr>
              <w:pStyle w:val="Normal"/>
              <w:widowControl w:val="false"/>
              <w:rPr>
                <w:sz w:val="28"/>
                <w:szCs w:val="28"/>
              </w:rPr>
            </w:pPr>
            <w:r>
              <w:rPr>
                <w:sz w:val="28"/>
                <w:szCs w:val="28"/>
              </w:rPr>
              <w:t>Кудымкарского муниципального округа Пермского края</w:t>
            </w:r>
          </w:p>
          <w:p>
            <w:pPr>
              <w:pStyle w:val="Normal"/>
              <w:widowControl w:val="false"/>
              <w:rPr>
                <w:sz w:val="28"/>
                <w:szCs w:val="28"/>
              </w:rPr>
            </w:pPr>
            <w:r>
              <w:rPr>
                <w:sz w:val="28"/>
                <w:szCs w:val="28"/>
              </w:rPr>
            </w:r>
          </w:p>
          <w:p>
            <w:pPr>
              <w:pStyle w:val="Normal"/>
              <w:widowControl w:val="false"/>
              <w:jc w:val="right"/>
              <w:rPr>
                <w:sz w:val="28"/>
                <w:szCs w:val="28"/>
              </w:rPr>
            </w:pPr>
            <w:r>
              <w:rPr>
                <w:sz w:val="28"/>
                <w:szCs w:val="28"/>
              </w:rPr>
              <w:t>М.А. Петров</w:t>
            </w:r>
          </w:p>
        </w:tc>
        <w:tc>
          <w:tcPr>
            <w:tcW w:w="5103" w:type="dxa"/>
            <w:tcBorders/>
            <w:shd w:color="auto" w:fill="auto" w:val="clear"/>
          </w:tcPr>
          <w:p>
            <w:pPr>
              <w:pStyle w:val="Normal"/>
              <w:widowControl w:val="false"/>
              <w:jc w:val="both"/>
              <w:rPr>
                <w:sz w:val="28"/>
                <w:szCs w:val="28"/>
              </w:rPr>
            </w:pPr>
            <w:r>
              <w:rPr>
                <w:sz w:val="28"/>
                <w:szCs w:val="28"/>
              </w:rPr>
              <w:t>Глава муниципального округа – глава администрации Кудымкарского муниципального округа Пермского края</w:t>
            </w:r>
          </w:p>
          <w:p>
            <w:pPr>
              <w:pStyle w:val="Normal"/>
              <w:widowControl w:val="false"/>
              <w:jc w:val="right"/>
              <w:rPr>
                <w:i/>
                <w:i/>
                <w:sz w:val="28"/>
                <w:szCs w:val="28"/>
              </w:rPr>
            </w:pPr>
            <w:r>
              <w:rPr>
                <w:i/>
                <w:sz w:val="28"/>
                <w:szCs w:val="28"/>
              </w:rPr>
            </w:r>
          </w:p>
          <w:p>
            <w:pPr>
              <w:pStyle w:val="Normal"/>
              <w:widowControl w:val="false"/>
              <w:jc w:val="right"/>
              <w:rPr>
                <w:i/>
                <w:i/>
                <w:sz w:val="28"/>
                <w:szCs w:val="28"/>
              </w:rPr>
            </w:pPr>
            <w:r>
              <w:rPr>
                <w:color w:val="202020"/>
                <w:sz w:val="28"/>
                <w:szCs w:val="28"/>
                <w:shd w:fill="FFFFFF" w:val="clear"/>
              </w:rPr>
              <w:t>Н.А. Стоянова</w:t>
            </w:r>
          </w:p>
        </w:tc>
      </w:tr>
    </w:tbl>
    <w:p>
      <w:pPr>
        <w:sectPr>
          <w:type w:val="nextPage"/>
          <w:pgSz w:w="11906" w:h="16838"/>
          <w:pgMar w:left="1418" w:right="567" w:gutter="0" w:header="0" w:top="680" w:footer="0" w:bottom="1134"/>
          <w:pgNumType w:fmt="decimal"/>
          <w:formProt w:val="false"/>
          <w:textDirection w:val="lrTb"/>
          <w:docGrid w:type="default" w:linePitch="360" w:charSpace="0"/>
        </w:sectPr>
        <w:pStyle w:val="Normal"/>
        <w:ind w:firstLine="567"/>
        <w:jc w:val="both"/>
        <w:rPr>
          <w:sz w:val="28"/>
          <w:szCs w:val="28"/>
        </w:rPr>
      </w:pPr>
      <w:r>
        <w:rPr>
          <w:sz w:val="28"/>
          <w:szCs w:val="28"/>
        </w:rPr>
      </w:r>
    </w:p>
    <w:p>
      <w:pPr>
        <w:pStyle w:val="Style25"/>
        <w:widowControl w:val="false"/>
        <w:spacing w:before="0" w:after="0"/>
        <w:ind w:left="4932" w:hanging="0"/>
        <w:jc w:val="both"/>
        <w:rPr>
          <w:rFonts w:ascii="Times New Roman" w:hAnsi="Times New Roman"/>
          <w:b w:val="false"/>
          <w:b w:val="false"/>
          <w:bCs w:val="false"/>
          <w:sz w:val="28"/>
          <w:szCs w:val="28"/>
        </w:rPr>
      </w:pPr>
      <w:bookmarkStart w:id="0" w:name="_GoBack"/>
      <w:bookmarkEnd w:id="0"/>
      <w:r>
        <w:rPr>
          <w:rFonts w:cs="Times New Roman" w:ascii="Times New Roman" w:hAnsi="Times New Roman"/>
          <w:b w:val="false"/>
          <w:bCs w:val="false"/>
          <w:sz w:val="28"/>
          <w:szCs w:val="28"/>
        </w:rPr>
        <w:t>УТВЕРЖДЕНО</w:t>
      </w:r>
    </w:p>
    <w:p>
      <w:pPr>
        <w:pStyle w:val="Style25"/>
        <w:widowControl w:val="false"/>
        <w:spacing w:before="0" w:after="0"/>
        <w:ind w:left="4932" w:hanging="0"/>
        <w:jc w:val="both"/>
        <w:rPr>
          <w:rFonts w:ascii="Times New Roman" w:hAnsi="Times New Roman"/>
          <w:b w:val="false"/>
          <w:b w:val="false"/>
          <w:bCs w:val="false"/>
          <w:sz w:val="28"/>
          <w:szCs w:val="28"/>
        </w:rPr>
      </w:pPr>
      <w:r>
        <w:rPr>
          <w:rFonts w:ascii="Times New Roman" w:hAnsi="Times New Roman"/>
          <w:b w:val="false"/>
          <w:bCs w:val="false"/>
          <w:sz w:val="28"/>
          <w:szCs w:val="28"/>
        </w:rPr>
        <w:t>решением Думы Кудымкарского муниципального округа Пермского края от 28.12.2022 № 101</w:t>
      </w:r>
    </w:p>
    <w:p>
      <w:pPr>
        <w:pStyle w:val="Style25"/>
        <w:spacing w:before="170" w:after="0"/>
        <w:rPr/>
      </w:pPr>
      <w:r>
        <w:rPr>
          <w:rFonts w:cs="Times New Roman" w:ascii="Times New Roman" w:hAnsi="Times New Roman"/>
          <w:caps/>
          <w:sz w:val="28"/>
          <w:szCs w:val="28"/>
        </w:rPr>
        <w:t>ПОЛОЖЕНИЕ</w:t>
      </w:r>
    </w:p>
    <w:p>
      <w:pPr>
        <w:pStyle w:val="Style25"/>
        <w:spacing w:before="0" w:after="0"/>
        <w:rPr>
          <w:rFonts w:ascii="Times New Roman" w:hAnsi="Times New Roman" w:cs="Times New Roman"/>
          <w:caps/>
          <w:sz w:val="28"/>
          <w:szCs w:val="28"/>
        </w:rPr>
      </w:pPr>
      <w:r>
        <w:rPr>
          <w:rFonts w:cs="Times New Roman" w:ascii="Times New Roman" w:hAnsi="Times New Roman"/>
          <w:sz w:val="28"/>
          <w:szCs w:val="28"/>
        </w:rPr>
        <w:t xml:space="preserve">о Гербе Кудымкарского муниципального округа </w:t>
      </w:r>
      <w:r>
        <w:rPr>
          <w:rFonts w:ascii="Times New Roman" w:hAnsi="Times New Roman"/>
          <w:sz w:val="28"/>
          <w:szCs w:val="28"/>
        </w:rPr>
        <w:t>Пермского края</w:t>
      </w:r>
    </w:p>
    <w:p>
      <w:pPr>
        <w:pStyle w:val="ListParagraph"/>
        <w:spacing w:before="120" w:after="12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t>1. Общие положения</w:t>
      </w:r>
    </w:p>
    <w:p>
      <w:pPr>
        <w:pStyle w:val="Normal"/>
        <w:ind w:firstLine="567"/>
        <w:jc w:val="both"/>
        <w:rPr/>
      </w:pPr>
      <w:r>
        <w:rPr>
          <w:sz w:val="28"/>
          <w:szCs w:val="28"/>
        </w:rPr>
        <w:t>1.1. Настоящим Положением устанавливается герб Кудымкарского муниципального округа Пермского края, его описание и порядок официального использования.</w:t>
      </w:r>
    </w:p>
    <w:p>
      <w:pPr>
        <w:pStyle w:val="Normal"/>
        <w:ind w:firstLine="567"/>
        <w:jc w:val="both"/>
        <w:rPr/>
      </w:pPr>
      <w:r>
        <w:rPr>
          <w:sz w:val="28"/>
          <w:szCs w:val="28"/>
        </w:rPr>
        <w:t>1.2. Герб Кудымкарского муниципального округа Пермского края составлен по правилам и традициям геральдики и отражает исторические, культурные, социально-экономические, национальные и иные местные традиции.</w:t>
      </w:r>
    </w:p>
    <w:p>
      <w:pPr>
        <w:pStyle w:val="Normal"/>
        <w:ind w:firstLine="567"/>
        <w:jc w:val="both"/>
        <w:rPr/>
      </w:pPr>
      <w:r>
        <w:rPr>
          <w:sz w:val="28"/>
          <w:szCs w:val="28"/>
        </w:rPr>
        <w:t>1.3. Герб Кудымкарского муниципального округа</w:t>
      </w:r>
      <w:r>
        <w:rPr>
          <w:b/>
          <w:szCs w:val="28"/>
        </w:rPr>
        <w:t xml:space="preserve"> </w:t>
      </w:r>
      <w:r>
        <w:rPr>
          <w:sz w:val="28"/>
          <w:szCs w:val="28"/>
        </w:rPr>
        <w:t>Пермского края (далее – Герб) является официальным символом Кудымкарского муниципального округа Пермского края (далее – Кудымкарский муниципальный округ).</w:t>
      </w:r>
    </w:p>
    <w:p>
      <w:pPr>
        <w:pStyle w:val="Normal"/>
        <w:ind w:firstLine="567"/>
        <w:jc w:val="both"/>
        <w:rPr/>
      </w:pPr>
      <w:r>
        <w:rPr>
          <w:sz w:val="28"/>
          <w:szCs w:val="28"/>
        </w:rPr>
        <w:t>1.4. Положение о Гербе и рисунки Герба в многоцветном и одноцветном вариантах хранятся в аппарате Думы Кудымкарского муниципального округа и доступны для ознакомления всем заинтересованным лицам.</w:t>
      </w:r>
    </w:p>
    <w:p>
      <w:pPr>
        <w:pStyle w:val="Normal"/>
        <w:ind w:firstLine="567"/>
        <w:jc w:val="both"/>
        <w:rPr/>
      </w:pPr>
      <w:r>
        <w:rPr>
          <w:sz w:val="28"/>
          <w:szCs w:val="28"/>
        </w:rPr>
        <w:t>1.5. Герб подлежит внесению в Государственный геральдический регистр Российской Федерации, Геральдический реестр Пермского края.</w:t>
      </w:r>
    </w:p>
    <w:p>
      <w:pPr>
        <w:pStyle w:val="ListParagraph"/>
        <w:spacing w:lineRule="auto" w:line="240" w:before="120" w:after="12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t>2. Описание Герба</w:t>
      </w:r>
    </w:p>
    <w:p>
      <w:pPr>
        <w:pStyle w:val="NormalWeb"/>
        <w:tabs>
          <w:tab w:val="clear" w:pos="720"/>
          <w:tab w:val="left" w:pos="567" w:leader="none"/>
        </w:tabs>
        <w:spacing w:beforeAutospacing="0" w:before="0" w:afterAutospacing="0" w:after="0"/>
        <w:ind w:firstLine="567"/>
        <w:jc w:val="both"/>
        <w:rPr>
          <w:sz w:val="28"/>
          <w:szCs w:val="28"/>
        </w:rPr>
      </w:pPr>
      <w:r>
        <w:rPr>
          <w:sz w:val="28"/>
          <w:szCs w:val="28"/>
        </w:rPr>
        <w:t>2.1. Геральдическое описание Герба:</w:t>
      </w:r>
    </w:p>
    <w:p>
      <w:pPr>
        <w:pStyle w:val="NormalWeb"/>
        <w:tabs>
          <w:tab w:val="clear" w:pos="720"/>
          <w:tab w:val="left" w:pos="567" w:leader="none"/>
        </w:tabs>
        <w:spacing w:beforeAutospacing="0" w:before="0" w:afterAutospacing="0" w:after="0"/>
        <w:ind w:firstLine="567"/>
        <w:jc w:val="both"/>
        <w:rPr>
          <w:sz w:val="28"/>
          <w:szCs w:val="28"/>
        </w:rPr>
      </w:pPr>
      <w:r>
        <w:rPr>
          <w:sz w:val="28"/>
          <w:szCs w:val="28"/>
        </w:rPr>
        <w:t>«В серебряном поле с узкими зелеными краями сопровождаемый во главе червленой перной стоящий прямо обернувшийся вправо опирающийся правой рукой на поставленное в столб черное копье с серебряным наконечником охотник коми-пермяк с буйными золотыми волосами и бородой, в червленой рубахе, черных штанах в полоску, черных котах с червлеными завязками и серебряными онучами и черной верхней одежде без рукавов, перепоясанной серебряным поясом с орнаментом и заткнутым за него серебряным же ножом».</w:t>
      </w:r>
    </w:p>
    <w:p>
      <w:pPr>
        <w:pStyle w:val="NormalWeb"/>
        <w:tabs>
          <w:tab w:val="clear" w:pos="720"/>
          <w:tab w:val="left" w:pos="567" w:leader="none"/>
        </w:tabs>
        <w:spacing w:beforeAutospacing="0" w:before="0" w:afterAutospacing="0" w:after="0"/>
        <w:ind w:firstLine="567"/>
        <w:jc w:val="both"/>
        <w:rPr>
          <w:sz w:val="28"/>
          <w:szCs w:val="28"/>
        </w:rPr>
      </w:pPr>
      <w:r>
        <w:rPr>
          <w:sz w:val="28"/>
          <w:szCs w:val="28"/>
        </w:rPr>
        <w:t>2.2. Толкование символики Герба:</w:t>
      </w:r>
    </w:p>
    <w:p>
      <w:pPr>
        <w:pStyle w:val="NormalWeb"/>
        <w:tabs>
          <w:tab w:val="clear" w:pos="720"/>
          <w:tab w:val="left" w:pos="567" w:leader="none"/>
        </w:tabs>
        <w:spacing w:beforeAutospacing="0" w:before="0" w:afterAutospacing="0" w:after="0"/>
        <w:ind w:firstLine="567"/>
        <w:jc w:val="both"/>
        <w:rPr>
          <w:sz w:val="28"/>
          <w:szCs w:val="28"/>
        </w:rPr>
      </w:pPr>
      <w:r>
        <w:rPr>
          <w:sz w:val="28"/>
          <w:szCs w:val="28"/>
        </w:rPr>
        <w:t xml:space="preserve">Основная фигура герба – охотник коми-пермяк указывает на историческое прошлое территории, заселенной народом коми-пермяков, одним из основных занятий которых была охота. Перна – солярный символ, часть национального узора коми-пермяков. </w:t>
      </w:r>
    </w:p>
    <w:p>
      <w:pPr>
        <w:pStyle w:val="NormalWeb"/>
        <w:tabs>
          <w:tab w:val="clear" w:pos="720"/>
          <w:tab w:val="left" w:pos="567" w:leader="none"/>
        </w:tabs>
        <w:spacing w:beforeAutospacing="0" w:before="0" w:afterAutospacing="0" w:after="0"/>
        <w:ind w:firstLine="567"/>
        <w:jc w:val="both"/>
        <w:rPr>
          <w:sz w:val="28"/>
          <w:szCs w:val="28"/>
        </w:rPr>
      </w:pPr>
      <w:r>
        <w:rPr>
          <w:sz w:val="28"/>
          <w:szCs w:val="28"/>
        </w:rPr>
        <w:t xml:space="preserve">Серебро – символ совершенства, благородства, чистоты, веры, мира. </w:t>
      </w:r>
    </w:p>
    <w:p>
      <w:pPr>
        <w:pStyle w:val="NormalWeb"/>
        <w:tabs>
          <w:tab w:val="clear" w:pos="720"/>
          <w:tab w:val="left" w:pos="567" w:leader="none"/>
        </w:tabs>
        <w:spacing w:beforeAutospacing="0" w:before="0" w:afterAutospacing="0" w:after="0"/>
        <w:ind w:firstLine="567"/>
        <w:jc w:val="both"/>
        <w:rPr>
          <w:sz w:val="28"/>
          <w:szCs w:val="28"/>
        </w:rPr>
      </w:pPr>
      <w:r>
        <w:rPr>
          <w:sz w:val="28"/>
          <w:szCs w:val="28"/>
        </w:rPr>
        <w:t xml:space="preserve">Золото – символ высшей ценности, богатства, величия, прочности, силы и великодушия. </w:t>
      </w:r>
    </w:p>
    <w:p>
      <w:pPr>
        <w:pStyle w:val="NormalWeb"/>
        <w:tabs>
          <w:tab w:val="clear" w:pos="720"/>
          <w:tab w:val="left" w:pos="567" w:leader="none"/>
        </w:tabs>
        <w:spacing w:beforeAutospacing="0" w:before="0" w:afterAutospacing="0" w:after="0"/>
        <w:ind w:firstLine="567"/>
        <w:jc w:val="both"/>
        <w:rPr>
          <w:sz w:val="28"/>
          <w:szCs w:val="28"/>
        </w:rPr>
      </w:pPr>
      <w:r>
        <w:rPr>
          <w:sz w:val="28"/>
          <w:szCs w:val="28"/>
        </w:rPr>
        <w:t xml:space="preserve">Червленый (красный) цвет символизирует труд, достаток, красоту и праздник. </w:t>
      </w:r>
    </w:p>
    <w:p>
      <w:pPr>
        <w:pStyle w:val="NormalWeb"/>
        <w:tabs>
          <w:tab w:val="clear" w:pos="720"/>
          <w:tab w:val="left" w:pos="567" w:leader="none"/>
        </w:tabs>
        <w:spacing w:beforeAutospacing="0" w:before="0" w:afterAutospacing="0" w:after="0"/>
        <w:ind w:firstLine="567"/>
        <w:jc w:val="both"/>
        <w:rPr>
          <w:sz w:val="28"/>
          <w:szCs w:val="28"/>
        </w:rPr>
      </w:pPr>
      <w:r>
        <w:rPr>
          <w:sz w:val="28"/>
          <w:szCs w:val="28"/>
        </w:rPr>
        <w:t xml:space="preserve">Черный цвет символизирует плодородие, в то же время черный цвет – символ мудрости, стабильности, постоянства. </w:t>
      </w:r>
    </w:p>
    <w:p>
      <w:pPr>
        <w:pStyle w:val="NormalWeb"/>
        <w:tabs>
          <w:tab w:val="clear" w:pos="720"/>
          <w:tab w:val="left" w:pos="567" w:leader="none"/>
        </w:tabs>
        <w:spacing w:beforeAutospacing="0" w:before="0" w:afterAutospacing="0" w:after="0"/>
        <w:ind w:firstLine="567"/>
        <w:jc w:val="both"/>
        <w:rPr>
          <w:sz w:val="28"/>
          <w:szCs w:val="28"/>
        </w:rPr>
      </w:pPr>
      <w:r>
        <w:rPr>
          <w:sz w:val="28"/>
          <w:szCs w:val="28"/>
        </w:rPr>
        <w:t>Зеленый цвет показывает богатую природу территории, кроме того, зеленый цвет – символ возрождения, жизни, радости и процветания.</w:t>
      </w:r>
    </w:p>
    <w:p>
      <w:pPr>
        <w:pStyle w:val="Normal"/>
        <w:spacing w:before="120" w:after="120"/>
        <w:jc w:val="center"/>
        <w:rPr/>
      </w:pPr>
      <w:r>
        <w:rPr>
          <w:b/>
          <w:sz w:val="28"/>
          <w:szCs w:val="28"/>
        </w:rPr>
        <w:t>3. Порядок воспроизведения Герба</w:t>
      </w:r>
    </w:p>
    <w:p>
      <w:pPr>
        <w:pStyle w:val="Normal"/>
        <w:ind w:firstLine="567"/>
        <w:jc w:val="both"/>
        <w:rPr>
          <w:sz w:val="28"/>
          <w:szCs w:val="28"/>
        </w:rPr>
      </w:pPr>
      <w:r>
        <w:rPr>
          <w:sz w:val="28"/>
          <w:szCs w:val="28"/>
        </w:rPr>
        <w:t>3.1. Воспроизведение Герба, независимо от его размеров, техники исполнения и назначения, должно соответствовать геральдическому описанию, приведенному в разделе 2 настоящего Положения. Воспроизведение Герба допускается в цветном и одноцветный контурным с условной штриховкой вариантах (приложения 1 и 2).</w:t>
      </w:r>
    </w:p>
    <w:p>
      <w:pPr>
        <w:pStyle w:val="Normal"/>
        <w:ind w:firstLine="567"/>
        <w:jc w:val="both"/>
        <w:rPr>
          <w:sz w:val="30"/>
          <w:szCs w:val="30"/>
        </w:rPr>
      </w:pPr>
      <w:r>
        <w:rPr>
          <w:sz w:val="30"/>
          <w:szCs w:val="30"/>
        </w:rPr>
        <w:t>3.2. Ответственность за искажение рисунка Герба, изменение его композиции или цветов, выходящее за пределы геральдических правил, несет лицо, использующее Герб с искажениями.</w:t>
      </w:r>
    </w:p>
    <w:p>
      <w:pPr>
        <w:pStyle w:val="Normal"/>
        <w:spacing w:before="120" w:after="120"/>
        <w:jc w:val="center"/>
        <w:rPr>
          <w:b/>
          <w:b/>
          <w:caps/>
          <w:sz w:val="28"/>
          <w:szCs w:val="28"/>
        </w:rPr>
      </w:pPr>
      <w:r>
        <w:rPr>
          <w:b/>
          <w:sz w:val="28"/>
          <w:szCs w:val="28"/>
        </w:rPr>
        <w:t>4. Порядок официального использования Герба</w:t>
      </w:r>
    </w:p>
    <w:p>
      <w:pPr>
        <w:pStyle w:val="Normal"/>
        <w:ind w:firstLine="567"/>
        <w:jc w:val="both"/>
        <w:rPr>
          <w:sz w:val="28"/>
          <w:szCs w:val="28"/>
        </w:rPr>
      </w:pPr>
      <w:r>
        <w:rPr>
          <w:sz w:val="28"/>
          <w:szCs w:val="28"/>
        </w:rPr>
        <w:t>4.1. Герб помещается:</w:t>
      </w:r>
    </w:p>
    <w:p>
      <w:pPr>
        <w:pStyle w:val="Normal"/>
        <w:ind w:firstLine="567"/>
        <w:jc w:val="both"/>
        <w:rPr>
          <w:sz w:val="28"/>
          <w:szCs w:val="28"/>
        </w:rPr>
      </w:pPr>
      <w:r>
        <w:rPr>
          <w:sz w:val="28"/>
          <w:szCs w:val="28"/>
        </w:rPr>
        <w:t>- на зданиях органов местного самоуправления Кудымкарского муниципального округа;</w:t>
      </w:r>
    </w:p>
    <w:p>
      <w:pPr>
        <w:pStyle w:val="Normal"/>
        <w:ind w:firstLine="567"/>
        <w:jc w:val="both"/>
        <w:rPr>
          <w:sz w:val="28"/>
          <w:szCs w:val="28"/>
        </w:rPr>
      </w:pPr>
      <w:r>
        <w:rPr>
          <w:sz w:val="28"/>
          <w:szCs w:val="28"/>
        </w:rPr>
        <w:t>- в залах заседаний органов местного самоуправления Кудымкарского муниципального округа;</w:t>
      </w:r>
    </w:p>
    <w:p>
      <w:pPr>
        <w:pStyle w:val="Normal"/>
        <w:ind w:firstLine="567"/>
        <w:jc w:val="both"/>
        <w:rPr>
          <w:sz w:val="28"/>
          <w:szCs w:val="28"/>
        </w:rPr>
      </w:pPr>
      <w:r>
        <w:rPr>
          <w:sz w:val="28"/>
          <w:szCs w:val="28"/>
        </w:rPr>
        <w:t>- в рабочих кабинетах выборных и назначаемых должностных лиц местного самоуправления Кудымкарского муниципального округа;</w:t>
      </w:r>
    </w:p>
    <w:p>
      <w:pPr>
        <w:pStyle w:val="Normal"/>
        <w:ind w:firstLine="567"/>
        <w:jc w:val="both"/>
        <w:rPr>
          <w:sz w:val="28"/>
          <w:szCs w:val="28"/>
        </w:rPr>
      </w:pPr>
      <w:r>
        <w:rPr>
          <w:sz w:val="28"/>
          <w:szCs w:val="28"/>
        </w:rPr>
        <w:t>- на бланках органов местного самоуправления и должностных лиц местного самоуправления Кудымкарского муниципального округа;</w:t>
      </w:r>
    </w:p>
    <w:p>
      <w:pPr>
        <w:pStyle w:val="Normal"/>
        <w:ind w:firstLine="567"/>
        <w:jc w:val="both"/>
        <w:rPr>
          <w:sz w:val="28"/>
          <w:szCs w:val="28"/>
        </w:rPr>
      </w:pPr>
      <w:r>
        <w:rPr>
          <w:sz w:val="28"/>
          <w:szCs w:val="28"/>
        </w:rPr>
        <w:t>- на печатях органов местного самоуправления Кудымкарского муниципального округа;</w:t>
      </w:r>
    </w:p>
    <w:p>
      <w:pPr>
        <w:pStyle w:val="Normal"/>
        <w:ind w:firstLine="567"/>
        <w:jc w:val="both"/>
        <w:rPr>
          <w:sz w:val="28"/>
          <w:szCs w:val="28"/>
        </w:rPr>
      </w:pPr>
      <w:r>
        <w:rPr>
          <w:sz w:val="28"/>
          <w:szCs w:val="28"/>
        </w:rPr>
        <w:t>- на официальных изданиях органов местного самоуправления Кудымкарского муниципального округа;</w:t>
      </w:r>
    </w:p>
    <w:p>
      <w:pPr>
        <w:pStyle w:val="Normal"/>
        <w:ind w:firstLine="567"/>
        <w:jc w:val="both"/>
        <w:rPr>
          <w:sz w:val="28"/>
          <w:szCs w:val="28"/>
        </w:rPr>
      </w:pPr>
      <w:r>
        <w:rPr>
          <w:sz w:val="28"/>
          <w:szCs w:val="28"/>
        </w:rPr>
        <w:t>- на удостоверениях лиц, осуществляющих службу на должностях в органах местного самоуправления Кудымкарского муниципального округа, муниципальных служащих, депутатов Думу Кудымкарского муниципального округа, почетных граждан, работников и сотрудников иных органов местного самоуправления Кудымкарского муниципального округа;</w:t>
      </w:r>
    </w:p>
    <w:p>
      <w:pPr>
        <w:pStyle w:val="Normal"/>
        <w:ind w:firstLine="567"/>
        <w:jc w:val="both"/>
        <w:rPr>
          <w:sz w:val="28"/>
          <w:szCs w:val="28"/>
        </w:rPr>
      </w:pPr>
      <w:r>
        <w:rPr>
          <w:sz w:val="28"/>
          <w:szCs w:val="28"/>
        </w:rPr>
        <w:t>- на официальных сайтах органов местного самоуправления в информационно-телекоммуникационной сети «Интернет».</w:t>
      </w:r>
    </w:p>
    <w:p>
      <w:pPr>
        <w:pStyle w:val="Normal"/>
        <w:tabs>
          <w:tab w:val="clear" w:pos="720"/>
          <w:tab w:val="left" w:pos="900" w:leader="none"/>
        </w:tabs>
        <w:ind w:firstLine="567"/>
        <w:jc w:val="both"/>
        <w:rPr>
          <w:sz w:val="28"/>
          <w:szCs w:val="28"/>
        </w:rPr>
      </w:pPr>
      <w:r>
        <w:rPr>
          <w:sz w:val="28"/>
          <w:szCs w:val="28"/>
        </w:rPr>
        <w:t>4.2. Герб может помещаться:</w:t>
      </w:r>
    </w:p>
    <w:p>
      <w:pPr>
        <w:pStyle w:val="Normal"/>
        <w:tabs>
          <w:tab w:val="clear" w:pos="720"/>
          <w:tab w:val="left" w:pos="900" w:leader="none"/>
        </w:tabs>
        <w:ind w:firstLine="567"/>
        <w:jc w:val="both"/>
        <w:rPr>
          <w:sz w:val="28"/>
          <w:szCs w:val="28"/>
        </w:rPr>
      </w:pPr>
      <w:r>
        <w:rPr>
          <w:sz w:val="28"/>
          <w:szCs w:val="28"/>
        </w:rPr>
        <w:t>- на вывесках с наименованиями муниципальных предприятий и учреждений Кудымкарского муниципального округа;</w:t>
      </w:r>
    </w:p>
    <w:p>
      <w:pPr>
        <w:pStyle w:val="Normal"/>
        <w:tabs>
          <w:tab w:val="clear" w:pos="720"/>
          <w:tab w:val="left" w:pos="900" w:leader="none"/>
        </w:tabs>
        <w:ind w:firstLine="567"/>
        <w:jc w:val="both"/>
        <w:rPr>
          <w:sz w:val="28"/>
          <w:szCs w:val="28"/>
        </w:rPr>
      </w:pPr>
      <w:r>
        <w:rPr>
          <w:sz w:val="28"/>
          <w:szCs w:val="28"/>
        </w:rPr>
        <w:t>- на наградах и памятных знаках муниципального образования Кудымкарского муниципального округа;</w:t>
      </w:r>
    </w:p>
    <w:p>
      <w:pPr>
        <w:pStyle w:val="Normal"/>
        <w:tabs>
          <w:tab w:val="clear" w:pos="720"/>
          <w:tab w:val="left" w:pos="900" w:leader="none"/>
        </w:tabs>
        <w:ind w:firstLine="567"/>
        <w:jc w:val="both"/>
        <w:rPr>
          <w:sz w:val="28"/>
          <w:szCs w:val="28"/>
        </w:rPr>
      </w:pPr>
      <w:r>
        <w:rPr>
          <w:sz w:val="28"/>
          <w:szCs w:val="28"/>
        </w:rPr>
        <w:t>- на указателях при въезде на территорию Кудымкарского муниципального округа;</w:t>
      </w:r>
    </w:p>
    <w:p>
      <w:pPr>
        <w:pStyle w:val="Normal"/>
        <w:tabs>
          <w:tab w:val="clear" w:pos="720"/>
          <w:tab w:val="left" w:pos="900" w:leader="none"/>
        </w:tabs>
        <w:ind w:firstLine="567"/>
        <w:jc w:val="both"/>
        <w:rPr>
          <w:sz w:val="28"/>
          <w:szCs w:val="28"/>
        </w:rPr>
      </w:pPr>
      <w:r>
        <w:rPr>
          <w:sz w:val="28"/>
          <w:szCs w:val="28"/>
        </w:rPr>
        <w:t>- на объектах движимого и недвижимого имущества, транспортных средствах, находящихся в муниципальной собственности;</w:t>
      </w:r>
    </w:p>
    <w:p>
      <w:pPr>
        <w:pStyle w:val="Normal"/>
        <w:tabs>
          <w:tab w:val="clear" w:pos="720"/>
          <w:tab w:val="left" w:pos="900" w:leader="none"/>
        </w:tabs>
        <w:ind w:firstLine="567"/>
        <w:jc w:val="both"/>
        <w:rPr>
          <w:sz w:val="28"/>
          <w:szCs w:val="28"/>
        </w:rPr>
      </w:pPr>
      <w:r>
        <w:rPr>
          <w:sz w:val="28"/>
          <w:szCs w:val="28"/>
        </w:rPr>
        <w:t>- на бланках и печатях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Кудымкарский муниципальный округ;</w:t>
      </w:r>
    </w:p>
    <w:p>
      <w:pPr>
        <w:pStyle w:val="Normal"/>
        <w:tabs>
          <w:tab w:val="clear" w:pos="720"/>
          <w:tab w:val="left" w:pos="900" w:leader="none"/>
        </w:tabs>
        <w:ind w:firstLine="567"/>
        <w:jc w:val="both"/>
        <w:rPr>
          <w:sz w:val="28"/>
          <w:szCs w:val="28"/>
        </w:rPr>
      </w:pPr>
      <w:r>
        <w:rPr>
          <w:sz w:val="28"/>
          <w:szCs w:val="28"/>
        </w:rPr>
        <w:t>- в залах заседаний руководящих органов и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которых является Кудымкарский муниципальный округ;</w:t>
      </w:r>
    </w:p>
    <w:p>
      <w:pPr>
        <w:pStyle w:val="Normal"/>
        <w:tabs>
          <w:tab w:val="clear" w:pos="720"/>
          <w:tab w:val="left" w:pos="900" w:leader="none"/>
        </w:tabs>
        <w:ind w:firstLine="567"/>
        <w:jc w:val="both"/>
        <w:rPr>
          <w:sz w:val="28"/>
          <w:szCs w:val="28"/>
        </w:rPr>
      </w:pPr>
      <w:r>
        <w:rPr>
          <w:sz w:val="28"/>
          <w:szCs w:val="28"/>
        </w:rPr>
        <w:t>- на принадлежащих органам, организациям, учреждениям и предприятиям, находящимся в муниципальной собственности, муниципальном управлении или муниципальном подчинении, а также органам, организациям, учреждениям и предприятиям, учредителем которых является Кудымкарский муниципальный округ, объектах движимого и недвижимого имущества, транспортных средствах.</w:t>
      </w:r>
    </w:p>
    <w:p>
      <w:pPr>
        <w:pStyle w:val="Normal"/>
        <w:ind w:firstLine="567"/>
        <w:jc w:val="both"/>
        <w:rPr>
          <w:sz w:val="28"/>
          <w:szCs w:val="28"/>
        </w:rPr>
      </w:pPr>
      <w:r>
        <w:rPr>
          <w:sz w:val="28"/>
          <w:szCs w:val="28"/>
        </w:rPr>
        <w:t>4.3. Допускается размещение Герба:</w:t>
      </w:r>
    </w:p>
    <w:p>
      <w:pPr>
        <w:pStyle w:val="Normal"/>
        <w:ind w:firstLine="567"/>
        <w:jc w:val="both"/>
        <w:rPr>
          <w:sz w:val="28"/>
          <w:szCs w:val="28"/>
        </w:rPr>
      </w:pPr>
      <w:r>
        <w:rPr>
          <w:sz w:val="28"/>
          <w:szCs w:val="28"/>
        </w:rPr>
        <w:t>- на печатных и иных изданиях информационного, официального, научного, научно-популярного, познавательного, краеведческого, географического, путеводительного и сувенирного характера;</w:t>
      </w:r>
    </w:p>
    <w:p>
      <w:pPr>
        <w:pStyle w:val="Normal"/>
        <w:ind w:firstLine="567"/>
        <w:jc w:val="both"/>
        <w:rPr>
          <w:color w:val="C00000"/>
          <w:sz w:val="28"/>
          <w:szCs w:val="28"/>
        </w:rPr>
      </w:pPr>
      <w:r>
        <w:rPr>
          <w:sz w:val="28"/>
          <w:szCs w:val="28"/>
        </w:rPr>
        <w:t>- на грамотах, приглашениях, визитных карточках главы муниципального округа - главы администрации Кудымкарского муниципального округа Пермского края, должностных лиц органов местного самоуправления Кудымкарского муниципального округа Пермского края, отраслевых (функциональных) органов администрации Кудымкарского муниципального округа Пермского края, депутатов Думы Кудымкарского муниципального округа Пермского края</w:t>
      </w:r>
      <w:r>
        <w:rPr>
          <w:color w:val="C00000"/>
          <w:sz w:val="28"/>
          <w:szCs w:val="28"/>
        </w:rPr>
        <w:t>.</w:t>
      </w:r>
    </w:p>
    <w:p>
      <w:pPr>
        <w:pStyle w:val="Normal"/>
        <w:ind w:left="-20" w:firstLine="587"/>
        <w:jc w:val="both"/>
        <w:rPr>
          <w:sz w:val="28"/>
          <w:szCs w:val="28"/>
        </w:rPr>
      </w:pPr>
      <w:r>
        <w:rPr>
          <w:sz w:val="28"/>
          <w:szCs w:val="28"/>
        </w:rPr>
        <w:t>4.4. Допускается использование Герба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Кудымкарском муниципальном округе или непосредственно связанных с Кудымкарским муниципальным округом.</w:t>
      </w:r>
    </w:p>
    <w:p>
      <w:pPr>
        <w:pStyle w:val="Normal"/>
        <w:ind w:firstLine="587"/>
        <w:jc w:val="both"/>
        <w:rPr>
          <w:sz w:val="28"/>
          <w:szCs w:val="28"/>
        </w:rPr>
      </w:pPr>
      <w:r>
        <w:rPr>
          <w:sz w:val="28"/>
          <w:szCs w:val="28"/>
        </w:rPr>
        <w:t>4.5.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(с точки зрения стоящего лицом к Гербам).</w:t>
      </w:r>
    </w:p>
    <w:p>
      <w:pPr>
        <w:pStyle w:val="Normal"/>
        <w:ind w:firstLine="587"/>
        <w:jc w:val="both"/>
        <w:rPr>
          <w:sz w:val="28"/>
          <w:szCs w:val="28"/>
        </w:rPr>
      </w:pPr>
      <w:r>
        <w:rPr>
          <w:sz w:val="28"/>
          <w:szCs w:val="28"/>
        </w:rPr>
        <w:t>При одновременном размещении Герба и Герба Пермского края, Герб располагается справа от Герба Пермского края (с точки зрения стоящего лицом к Гербам).</w:t>
      </w:r>
    </w:p>
    <w:p>
      <w:pPr>
        <w:pStyle w:val="Normal"/>
        <w:ind w:firstLine="587"/>
        <w:jc w:val="both"/>
        <w:rPr>
          <w:sz w:val="28"/>
          <w:szCs w:val="28"/>
        </w:rPr>
      </w:pPr>
      <w:r>
        <w:rPr>
          <w:sz w:val="28"/>
          <w:szCs w:val="28"/>
        </w:rPr>
        <w:t>При одновременном размещении Герба, Государственного Герба Российской Федерации и Герба Пермского края, Государственный Герб Российской Федерации располагается в центре, Герб Пермского края – слева от центра, а Герб – справа от центра (с точки зрения стоящего лицом к Гербам).</w:t>
      </w:r>
    </w:p>
    <w:p>
      <w:pPr>
        <w:pStyle w:val="Normal"/>
        <w:ind w:firstLine="587"/>
        <w:jc w:val="both"/>
        <w:rPr>
          <w:sz w:val="28"/>
          <w:szCs w:val="28"/>
        </w:rPr>
      </w:pPr>
      <w:r>
        <w:rPr>
          <w:sz w:val="28"/>
          <w:szCs w:val="28"/>
        </w:rPr>
        <w:t>При одновременном размещении Герба с другими Гербами размер Герба не может превышать размеры Государственного Герба Российской Федерации (или иного государственного Герба), Герба Пермского края (или герба иного субъекта Российской Федерации).</w:t>
      </w:r>
    </w:p>
    <w:p>
      <w:pPr>
        <w:pStyle w:val="Normal"/>
        <w:ind w:firstLine="587"/>
        <w:jc w:val="both"/>
        <w:rPr>
          <w:sz w:val="28"/>
          <w:szCs w:val="28"/>
        </w:rPr>
      </w:pPr>
      <w:r>
        <w:rPr>
          <w:sz w:val="28"/>
          <w:szCs w:val="28"/>
        </w:rPr>
        <w:t>При одновременном размещении Герба с другими Гербами Герб не может размещаться выше Государственного Герба Российской Федерации (или иного государственного Герба), герба Пермского края (или Герба иного субъекта Российской Федерации).</w:t>
      </w:r>
    </w:p>
    <w:p>
      <w:pPr>
        <w:pStyle w:val="Normal"/>
        <w:ind w:firstLine="587"/>
        <w:jc w:val="both"/>
        <w:rPr>
          <w:sz w:val="28"/>
          <w:szCs w:val="28"/>
        </w:rPr>
      </w:pPr>
      <w:r>
        <w:rPr>
          <w:sz w:val="28"/>
          <w:szCs w:val="28"/>
        </w:rPr>
        <w:t>4.6. Порядок изготовления, использования, хранения и уничтожения бланков, печатей и иных носителей изображения Герба</w:t>
      </w:r>
      <w:r>
        <w:rPr>
          <w:caps/>
          <w:sz w:val="28"/>
          <w:szCs w:val="28"/>
        </w:rPr>
        <w:t xml:space="preserve">, </w:t>
      </w:r>
      <w:r>
        <w:rPr>
          <w:sz w:val="28"/>
          <w:szCs w:val="28"/>
        </w:rPr>
        <w:t>в случае необходимости его установления, устанавливается органами местного самоуправления Кудымкарского муниципального округа Пермского края.</w:t>
      </w:r>
    </w:p>
    <w:p>
      <w:pPr>
        <w:pStyle w:val="Normal"/>
        <w:ind w:firstLine="587"/>
        <w:jc w:val="both"/>
        <w:rPr>
          <w:sz w:val="28"/>
          <w:szCs w:val="28"/>
        </w:rPr>
      </w:pPr>
      <w:r>
        <w:rPr>
          <w:bCs/>
          <w:sz w:val="28"/>
          <w:szCs w:val="28"/>
        </w:rPr>
        <w:t>4.7.</w:t>
      </w:r>
      <w:r>
        <w:rPr>
          <w:sz w:val="28"/>
          <w:szCs w:val="28"/>
        </w:rPr>
        <w:t xml:space="preserve"> Иные случаи использования Герба устанавливаются главой муниципального округа - главой администрации Кудымкарского муниципального округа Пермского края.</w:t>
      </w:r>
    </w:p>
    <w:p>
      <w:pPr>
        <w:pStyle w:val="ListParagraph"/>
        <w:numPr>
          <w:ilvl w:val="0"/>
          <w:numId w:val="1"/>
        </w:numPr>
        <w:spacing w:lineRule="auto" w:line="240" w:before="120" w:after="120"/>
        <w:ind w:left="720" w:hanging="357"/>
        <w:contextualSpacing/>
        <w:jc w:val="center"/>
        <w:rPr>
          <w:rFonts w:ascii="Times New Roman" w:hAnsi="Times New Roman" w:cs="Times New Roman"/>
          <w:b/>
          <w:b/>
          <w:sz w:val="28"/>
          <w:szCs w:val="28"/>
        </w:rPr>
      </w:pPr>
      <w:r>
        <w:rPr>
          <w:rFonts w:cs="Times New Roman" w:ascii="Times New Roman" w:hAnsi="Times New Roman"/>
          <w:b/>
          <w:sz w:val="28"/>
          <w:szCs w:val="28"/>
        </w:rPr>
        <w:t>Ответственность за нарушение настоящего Положения</w:t>
      </w:r>
    </w:p>
    <w:p>
      <w:pPr>
        <w:pStyle w:val="Normal"/>
        <w:ind w:firstLine="567"/>
        <w:jc w:val="both"/>
        <w:rPr>
          <w:sz w:val="28"/>
          <w:szCs w:val="28"/>
        </w:rPr>
      </w:pPr>
      <w:r>
        <w:rPr>
          <w:sz w:val="28"/>
          <w:szCs w:val="28"/>
        </w:rPr>
        <w:t>Использование Герба с нарушением настоящего Положения, а также надругательство над Гербом влечет за собой ответственность в соответствии с законодательством Российской Федерации.</w:t>
      </w:r>
    </w:p>
    <w:p>
      <w:pPr>
        <w:pStyle w:val="Normal"/>
        <w:spacing w:before="120" w:after="120"/>
        <w:jc w:val="center"/>
        <w:rPr>
          <w:b/>
          <w:b/>
          <w:sz w:val="28"/>
          <w:szCs w:val="28"/>
        </w:rPr>
      </w:pPr>
      <w:r>
        <w:rPr>
          <w:b/>
          <w:sz w:val="28"/>
          <w:szCs w:val="28"/>
        </w:rPr>
        <w:t>6. Заключительные положения</w:t>
      </w:r>
    </w:p>
    <w:p>
      <w:pPr>
        <w:pStyle w:val="Normal"/>
        <w:ind w:firstLine="567"/>
        <w:jc w:val="both"/>
        <w:rPr>
          <w:sz w:val="28"/>
          <w:szCs w:val="28"/>
        </w:rPr>
      </w:pPr>
      <w:r>
        <w:rPr>
          <w:sz w:val="28"/>
          <w:szCs w:val="28"/>
        </w:rPr>
        <w:t>6.1. Внесение в состав (рисунок) Герба каких-либо внешних украшений, а также элементов официальных символов Пермского края допустимо лишь в соответствии с законодательством Российской Федерации и Пермского края. Эти изменения должны сопровождаться пересмотром статьи 3 настоящего Положения для отражения внесенных элементов в описании.</w:t>
      </w:r>
    </w:p>
    <w:p>
      <w:pPr>
        <w:pStyle w:val="Normal"/>
        <w:ind w:firstLine="709"/>
        <w:jc w:val="both"/>
        <w:rPr>
          <w:sz w:val="28"/>
          <w:szCs w:val="28"/>
        </w:rPr>
      </w:pPr>
      <w:r>
        <w:rPr>
          <w:sz w:val="28"/>
          <w:szCs w:val="28"/>
        </w:rPr>
        <w:t>6.2. Все права на Герб принадлежат органам местного самоуправления Кудымкарского муниципального округа.</w:t>
      </w:r>
    </w:p>
    <w:p>
      <w:pPr>
        <w:sectPr>
          <w:type w:val="nextPage"/>
          <w:pgSz w:w="11906" w:h="16838"/>
          <w:pgMar w:left="1418" w:right="567" w:gutter="0" w:header="0" w:top="1134" w:footer="0" w:bottom="1134"/>
          <w:pgNumType w:fmt="decimal"/>
          <w:formProt w:val="false"/>
          <w:textDirection w:val="lrTb"/>
          <w:docGrid w:type="default" w:linePitch="360" w:charSpace="0"/>
        </w:sectPr>
        <w:pStyle w:val="Normal"/>
        <w:ind w:firstLine="709"/>
        <w:jc w:val="both"/>
        <w:rPr>
          <w:spacing w:val="-6"/>
          <w:sz w:val="28"/>
          <w:szCs w:val="28"/>
        </w:rPr>
      </w:pPr>
      <w:r>
        <w:rPr>
          <w:spacing w:val="-6"/>
          <w:sz w:val="28"/>
          <w:szCs w:val="28"/>
        </w:rPr>
        <w:t>6.3. Герб с момента установления его Думой Кудымкарского муниципального округа Пермского края в качестве официального символа Кудымкарского муниципального округа Пермского края, согласно п.2 ч.6 ст.1259 «</w:t>
      </w:r>
      <w:r>
        <w:rPr>
          <w:bCs/>
          <w:spacing w:val="-6"/>
          <w:sz w:val="28"/>
          <w:szCs w:val="28"/>
        </w:rPr>
        <w:t xml:space="preserve">Объекты авторских прав» </w:t>
      </w:r>
      <w:r>
        <w:rPr>
          <w:spacing w:val="-6"/>
          <w:sz w:val="28"/>
          <w:szCs w:val="28"/>
        </w:rPr>
        <w:t>части 4 Гражданского кодекса Российской Федерации, авторским правом не охраняется.</w:t>
      </w:r>
    </w:p>
    <w:p>
      <w:pPr>
        <w:pStyle w:val="Normal"/>
        <w:widowControl w:val="false"/>
        <w:ind w:left="4819" w:hanging="0"/>
        <w:jc w:val="both"/>
        <w:rPr>
          <w:sz w:val="28"/>
          <w:szCs w:val="28"/>
        </w:rPr>
      </w:pPr>
      <w:r>
        <w:rPr>
          <w:sz w:val="28"/>
          <w:szCs w:val="28"/>
        </w:rPr>
        <w:t>Приложение 1</w:t>
      </w:r>
    </w:p>
    <w:p>
      <w:pPr>
        <w:pStyle w:val="Normal"/>
        <w:widowControl w:val="false"/>
        <w:ind w:left="4819" w:hanging="0"/>
        <w:jc w:val="both"/>
        <w:rPr>
          <w:sz w:val="28"/>
          <w:szCs w:val="28"/>
        </w:rPr>
      </w:pPr>
      <w:r>
        <w:rPr>
          <w:sz w:val="28"/>
          <w:szCs w:val="28"/>
        </w:rPr>
        <w:t>к Положению о Гербе Кудымкарского муниципального округа Пермского края</w:t>
      </w:r>
    </w:p>
    <w:p>
      <w:pPr>
        <w:pStyle w:val="Normal"/>
        <w:ind w:left="720" w:firstLine="708"/>
        <w:jc w:val="both"/>
        <w:rPr>
          <w:sz w:val="28"/>
          <w:szCs w:val="28"/>
        </w:rPr>
      </w:pPr>
      <w:r>
        <w:rPr>
          <w:sz w:val="28"/>
          <w:szCs w:val="28"/>
        </w:rPr>
      </w:r>
    </w:p>
    <w:p>
      <w:pPr>
        <w:pStyle w:val="Normal"/>
        <w:jc w:val="center"/>
        <w:rPr>
          <w:sz w:val="28"/>
          <w:szCs w:val="28"/>
        </w:rPr>
      </w:pPr>
      <w:r>
        <w:rPr>
          <w:sz w:val="28"/>
          <w:szCs w:val="28"/>
        </w:rPr>
        <w:t>Многоцветный рисунок герба</w:t>
      </w:r>
    </w:p>
    <w:p>
      <w:pPr>
        <w:pStyle w:val="Normal"/>
        <w:jc w:val="center"/>
        <w:rPr>
          <w:sz w:val="32"/>
          <w:szCs w:val="32"/>
        </w:rPr>
      </w:pPr>
      <w:r>
        <w:rPr>
          <w:sz w:val="28"/>
          <w:szCs w:val="28"/>
        </w:rPr>
        <w:t>Кудымкарского муниципального округа Пермского края</w:t>
      </w:r>
    </w:p>
    <w:p>
      <w:pPr>
        <w:pStyle w:val="Normal"/>
        <w:ind w:left="720" w:firstLine="708"/>
        <w:jc w:val="both"/>
        <w:rPr>
          <w:sz w:val="28"/>
          <w:szCs w:val="28"/>
        </w:rPr>
      </w:pPr>
      <w:r>
        <w:rPr>
          <w:sz w:val="28"/>
          <w:szCs w:val="28"/>
        </w:rPr>
      </w:r>
    </w:p>
    <w:p>
      <w:pPr>
        <w:pStyle w:val="Normal"/>
        <w:ind w:left="720" w:firstLine="708"/>
        <w:jc w:val="both"/>
        <w:rPr>
          <w:sz w:val="28"/>
          <w:szCs w:val="28"/>
        </w:rPr>
      </w:pPr>
      <w:r>
        <w:rPr>
          <w:sz w:val="28"/>
          <w:szCs w:val="28"/>
        </w:rPr>
      </w:r>
    </w:p>
    <w:tbl>
      <w:tblPr>
        <w:tblStyle w:val="af5"/>
        <w:tblW w:w="957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9571"/>
      </w:tblGrid>
      <w:tr>
        <w:trPr>
          <w:trHeight w:val="5382" w:hRule="atLeast"/>
        </w:trPr>
        <w:tc>
          <w:tcPr>
            <w:tcW w:w="9571" w:type="dxa"/>
            <w:tcBorders>
              <w:top w:val="nil"/>
              <w:left w:val="nil"/>
              <w:bottom w:val="nil"/>
              <w:right w:val="nil"/>
            </w:tcBorders>
            <w:shd w:color="auto" w:fill="auto" w:val="clear"/>
          </w:tcPr>
          <w:p>
            <w:pPr>
              <w:pStyle w:val="Normal"/>
              <w:widowControl w:val="false"/>
              <w:suppressAutoHyphens w:val="true"/>
              <w:spacing w:before="0" w:after="0"/>
              <w:jc w:val="center"/>
              <w:rPr>
                <w:sz w:val="28"/>
                <w:szCs w:val="28"/>
              </w:rPr>
            </w:pPr>
            <w:r>
              <w:rPr>
                <w:kern w:val="0"/>
                <w:lang w:val="ru-RU" w:bidi="ar-SA"/>
              </w:rPr>
              <w:drawing>
                <wp:inline distT="0" distB="0" distL="0" distR="0">
                  <wp:extent cx="2638425" cy="3400425"/>
                  <wp:effectExtent l="0" t="0" r="0" b="0"/>
                  <wp:docPr id="2" name="Рисунок 1" descr="F:\Documents and Settings\User\Рабочий стол\флаг\attachments_05-10-2010_14-59-47\Кудымкарский МР  ц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F:\Documents and Settings\User\Рабочий стол\флаг\attachments_05-10-2010_14-59-47\Кудымкарский МР  цвет.jpg"/>
                          <pic:cNvPicPr>
                            <a:picLocks noChangeAspect="1" noChangeArrowheads="1"/>
                          </pic:cNvPicPr>
                        </pic:nvPicPr>
                        <pic:blipFill>
                          <a:blip r:embed="rId3"/>
                          <a:srcRect l="17202" t="22751" r="14523" b="15303"/>
                          <a:stretch>
                            <a:fillRect/>
                          </a:stretch>
                        </pic:blipFill>
                        <pic:spPr bwMode="auto">
                          <a:xfrm>
                            <a:off x="0" y="0"/>
                            <a:ext cx="2638425" cy="3400425"/>
                          </a:xfrm>
                          <a:prstGeom prst="rect">
                            <a:avLst/>
                          </a:prstGeom>
                        </pic:spPr>
                      </pic:pic>
                    </a:graphicData>
                  </a:graphic>
                </wp:inline>
              </w:drawing>
            </w:r>
          </w:p>
        </w:tc>
      </w:tr>
    </w:tbl>
    <w:p>
      <w:pPr>
        <w:sectPr>
          <w:type w:val="nextPage"/>
          <w:pgSz w:w="11906" w:h="16838"/>
          <w:pgMar w:left="1418" w:right="567" w:gutter="0" w:header="0" w:top="1134" w:footer="0" w:bottom="1134"/>
          <w:pgNumType w:fmt="decimal"/>
          <w:formProt w:val="false"/>
          <w:textDirection w:val="lrTb"/>
          <w:docGrid w:type="default" w:linePitch="360" w:charSpace="0"/>
        </w:sectPr>
      </w:pPr>
    </w:p>
    <w:p>
      <w:pPr>
        <w:pStyle w:val="Normal"/>
        <w:widowControl w:val="false"/>
        <w:ind w:left="4819" w:hanging="0"/>
        <w:jc w:val="both"/>
        <w:rPr>
          <w:sz w:val="28"/>
          <w:szCs w:val="28"/>
        </w:rPr>
      </w:pPr>
      <w:r>
        <w:rPr>
          <w:sz w:val="28"/>
          <w:szCs w:val="28"/>
        </w:rPr>
        <w:t>Приложение 1</w:t>
      </w:r>
    </w:p>
    <w:p>
      <w:pPr>
        <w:pStyle w:val="Normal"/>
        <w:widowControl w:val="false"/>
        <w:ind w:left="4819" w:hanging="0"/>
        <w:jc w:val="both"/>
        <w:rPr>
          <w:sz w:val="28"/>
          <w:szCs w:val="28"/>
        </w:rPr>
      </w:pPr>
      <w:r>
        <w:rPr>
          <w:sz w:val="28"/>
          <w:szCs w:val="28"/>
        </w:rPr>
        <w:t>к Положению о Гербе Кудымкарского муниципального округа Пермского края</w:t>
      </w:r>
    </w:p>
    <w:p>
      <w:pPr>
        <w:pStyle w:val="Normal"/>
        <w:jc w:val="center"/>
        <w:rPr>
          <w:sz w:val="28"/>
          <w:szCs w:val="28"/>
        </w:rPr>
      </w:pPr>
      <w:r>
        <w:rPr>
          <w:sz w:val="28"/>
          <w:szCs w:val="28"/>
        </w:rPr>
      </w:r>
    </w:p>
    <w:p>
      <w:pPr>
        <w:pStyle w:val="Normal"/>
        <w:jc w:val="center"/>
        <w:rPr>
          <w:sz w:val="28"/>
          <w:szCs w:val="28"/>
        </w:rPr>
      </w:pPr>
      <w:r>
        <w:rPr>
          <w:sz w:val="28"/>
          <w:szCs w:val="28"/>
        </w:rPr>
        <w:t>Одноцветный контурный рисунок с условной штриховкой герба</w:t>
      </w:r>
    </w:p>
    <w:p>
      <w:pPr>
        <w:pStyle w:val="Normal"/>
        <w:jc w:val="center"/>
        <w:rPr>
          <w:sz w:val="28"/>
          <w:szCs w:val="28"/>
        </w:rPr>
      </w:pPr>
      <w:r>
        <w:rPr>
          <w:sz w:val="28"/>
          <w:szCs w:val="28"/>
        </w:rPr>
        <w:t>Кудымкарского муниципального округа Пермского края</w:t>
      </w:r>
    </w:p>
    <w:p>
      <w:pPr>
        <w:pStyle w:val="Normal"/>
        <w:jc w:val="center"/>
        <w:rPr>
          <w:sz w:val="32"/>
          <w:szCs w:val="32"/>
        </w:rPr>
      </w:pPr>
      <w:r>
        <w:rPr>
          <w:sz w:val="32"/>
          <w:szCs w:val="32"/>
        </w:rPr>
      </w:r>
    </w:p>
    <w:p>
      <w:pPr>
        <w:pStyle w:val="Normal"/>
        <w:keepNext w:val="true"/>
        <w:numPr>
          <w:ilvl w:val="0"/>
          <w:numId w:val="0"/>
        </w:numPr>
        <w:jc w:val="center"/>
        <w:outlineLvl w:val="0"/>
        <w:rPr/>
      </w:pPr>
      <w:r>
        <w:rPr>
          <w:b/>
          <w:sz w:val="32"/>
          <w:szCs w:val="32"/>
        </w:rPr>
        <w:t>ШТРИХОВКОЙ ДЛЯ ОБОЗНАЧЕНИЯ ЦВЕТА ГЕРБА</w:t>
      </w:r>
    </w:p>
    <w:p>
      <w:pPr>
        <w:pStyle w:val="Normal"/>
        <w:numPr>
          <w:ilvl w:val="0"/>
          <w:numId w:val="0"/>
        </w:numPr>
        <w:jc w:val="center"/>
        <w:outlineLvl w:val="0"/>
        <w:rPr/>
      </w:pPr>
      <w:r>
        <w:rPr/>
        <w:drawing>
          <wp:inline distT="0" distB="0" distL="0" distR="0">
            <wp:extent cx="2600325" cy="3324225"/>
            <wp:effectExtent l="0" t="0" r="0" b="0"/>
            <wp:docPr id="3" name="Изображение2"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Кудымкарский МР штрих на бланк"/>
                    <pic:cNvPicPr>
                      <a:picLocks noChangeAspect="1" noChangeArrowheads="1"/>
                    </pic:cNvPicPr>
                  </pic:nvPicPr>
                  <pic:blipFill>
                    <a:blip r:embed="rId4"/>
                    <a:stretch>
                      <a:fillRect/>
                    </a:stretch>
                  </pic:blipFill>
                  <pic:spPr bwMode="auto">
                    <a:xfrm>
                      <a:off x="0" y="0"/>
                      <a:ext cx="2600325" cy="3324225"/>
                    </a:xfrm>
                    <a:prstGeom prst="rect">
                      <a:avLst/>
                    </a:prstGeom>
                  </pic:spPr>
                </pic:pic>
              </a:graphicData>
            </a:graphic>
          </wp:inline>
        </w:drawing>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pPr>
      <w:r>
        <w:rPr>
          <w:sz w:val="28"/>
          <w:szCs w:val="28"/>
        </w:rPr>
        <w:t xml:space="preserve">                        </w:t>
      </w:r>
      <w:r>
        <w:rPr>
          <w:sz w:val="28"/>
          <w:szCs w:val="28"/>
        </w:rPr>
        <w:t>УТВЕРЖДЕНО</w:t>
      </w:r>
    </w:p>
    <w:p>
      <w:pPr>
        <w:pStyle w:val="Style25"/>
        <w:widowControl w:val="false"/>
        <w:spacing w:before="0" w:after="0"/>
        <w:ind w:left="4819" w:hanging="0"/>
        <w:contextualSpacing/>
        <w:jc w:val="both"/>
        <w:rPr>
          <w:rFonts w:ascii="Times New Roman" w:hAnsi="Times New Roman"/>
          <w:b w:val="false"/>
          <w:b w:val="false"/>
          <w:bCs w:val="false"/>
        </w:rPr>
      </w:pPr>
      <w:r>
        <w:rPr>
          <w:rFonts w:ascii="Times New Roman" w:hAnsi="Times New Roman"/>
          <w:b w:val="false"/>
          <w:bCs w:val="false"/>
          <w:sz w:val="28"/>
          <w:szCs w:val="28"/>
        </w:rPr>
        <w:t>решением Думы Кудымкарского муниципального округа Пермского края от 28.12.2022 № 101</w:t>
      </w:r>
    </w:p>
    <w:p>
      <w:pPr>
        <w:pStyle w:val="Normal"/>
        <w:numPr>
          <w:ilvl w:val="0"/>
          <w:numId w:val="0"/>
        </w:numPr>
        <w:spacing w:before="120" w:after="60"/>
        <w:contextualSpacing/>
        <w:jc w:val="center"/>
        <w:outlineLvl w:val="0"/>
        <w:rPr>
          <w:b/>
          <w:b/>
          <w:bCs/>
          <w:sz w:val="28"/>
          <w:szCs w:val="28"/>
        </w:rPr>
      </w:pPr>
      <w:r>
        <w:rPr/>
      </w:r>
    </w:p>
    <w:p>
      <w:pPr>
        <w:pStyle w:val="Normal"/>
        <w:numPr>
          <w:ilvl w:val="0"/>
          <w:numId w:val="0"/>
        </w:numPr>
        <w:spacing w:before="120" w:after="60"/>
        <w:contextualSpacing/>
        <w:jc w:val="center"/>
        <w:outlineLvl w:val="0"/>
        <w:rPr>
          <w:b/>
          <w:b/>
          <w:bCs/>
          <w:sz w:val="28"/>
          <w:szCs w:val="28"/>
        </w:rPr>
      </w:pPr>
      <w:r>
        <w:rPr>
          <w:b/>
          <w:bCs/>
          <w:sz w:val="28"/>
          <w:szCs w:val="28"/>
        </w:rPr>
        <w:t>ПОЛОЖЕНИЕ</w:t>
      </w:r>
    </w:p>
    <w:p>
      <w:pPr>
        <w:pStyle w:val="Normal"/>
        <w:keepNext w:val="true"/>
        <w:numPr>
          <w:ilvl w:val="0"/>
          <w:numId w:val="0"/>
        </w:numPr>
        <w:jc w:val="center"/>
        <w:outlineLvl w:val="0"/>
        <w:rPr>
          <w:b/>
          <w:b/>
          <w:bCs/>
          <w:sz w:val="28"/>
          <w:szCs w:val="28"/>
        </w:rPr>
      </w:pPr>
      <w:r>
        <w:rPr>
          <w:b/>
          <w:bCs/>
          <w:sz w:val="28"/>
          <w:szCs w:val="28"/>
        </w:rPr>
        <w:t>о Флаге Кудымкарского муниципального округа Пермского края</w:t>
      </w:r>
    </w:p>
    <w:p>
      <w:pPr>
        <w:pStyle w:val="ListParagraph"/>
        <w:numPr>
          <w:ilvl w:val="0"/>
          <w:numId w:val="2"/>
        </w:numPr>
        <w:spacing w:lineRule="auto" w:line="240" w:before="120" w:after="120"/>
        <w:ind w:left="714" w:hanging="357"/>
        <w:contextualSpacing/>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Normal"/>
        <w:ind w:firstLine="567"/>
        <w:jc w:val="both"/>
        <w:rPr>
          <w:sz w:val="28"/>
          <w:szCs w:val="28"/>
        </w:rPr>
      </w:pPr>
      <w:r>
        <w:rPr>
          <w:sz w:val="28"/>
          <w:szCs w:val="28"/>
        </w:rPr>
        <w:t>1.1. Настоящим Положением устанавливается Флаг Кудымкарского муниципального округа Пермского края, его описание и порядок официального использования.</w:t>
      </w:r>
    </w:p>
    <w:p>
      <w:pPr>
        <w:pStyle w:val="Normal"/>
        <w:ind w:firstLine="567"/>
        <w:jc w:val="both"/>
        <w:rPr>
          <w:sz w:val="28"/>
          <w:szCs w:val="28"/>
        </w:rPr>
      </w:pPr>
      <w:r>
        <w:rPr>
          <w:sz w:val="28"/>
          <w:szCs w:val="28"/>
        </w:rPr>
        <w:t xml:space="preserve">1.2. Флаг муниципального образования Кудымкарский муниципальный район Пермского края (далее - Флаг) является официальным символом Кудымкарского </w:t>
      </w:r>
      <w:r>
        <w:rPr>
          <w:bCs/>
          <w:sz w:val="28"/>
          <w:szCs w:val="28"/>
        </w:rPr>
        <w:t>муниципального округа Пермского края (далее - Кудымкарский муниципальный округ).</w:t>
      </w:r>
    </w:p>
    <w:p>
      <w:pPr>
        <w:pStyle w:val="Normal"/>
        <w:ind w:firstLine="567"/>
        <w:jc w:val="both"/>
        <w:rPr>
          <w:sz w:val="28"/>
          <w:szCs w:val="28"/>
        </w:rPr>
      </w:pPr>
      <w:r>
        <w:rPr>
          <w:bCs/>
          <w:sz w:val="28"/>
          <w:szCs w:val="28"/>
        </w:rPr>
        <w:t>1.3. Флаг составлен на основании Герба Кудымкарского муниципального округа, по правилам и соответствующем традициям геральдики и отражает исторические, культурные, социально-экономические, национальные и иные местные традиции.</w:t>
      </w:r>
    </w:p>
    <w:p>
      <w:pPr>
        <w:pStyle w:val="Normal"/>
        <w:ind w:firstLine="567"/>
        <w:jc w:val="both"/>
        <w:rPr>
          <w:sz w:val="28"/>
          <w:szCs w:val="28"/>
        </w:rPr>
      </w:pPr>
      <w:r>
        <w:rPr>
          <w:sz w:val="28"/>
          <w:szCs w:val="28"/>
        </w:rPr>
        <w:t>1.4. Положение о Флаге и рисунок Флага хранятся в аппарате Думы Кудымкарского муниципального округа и доступны для ознакомления всем заинтересованным лицам.</w:t>
      </w:r>
    </w:p>
    <w:p>
      <w:pPr>
        <w:pStyle w:val="Normal"/>
        <w:ind w:firstLine="567"/>
        <w:jc w:val="both"/>
        <w:rPr/>
      </w:pPr>
      <w:r>
        <w:rPr>
          <w:sz w:val="28"/>
          <w:szCs w:val="28"/>
        </w:rPr>
        <w:t>1.5. Флаг подлежит внесению в Государственный геральдический регистр Российской Федерации, Геральдический реестр Пермского края.</w:t>
      </w:r>
    </w:p>
    <w:p>
      <w:pPr>
        <w:pStyle w:val="Normal"/>
        <w:ind w:firstLine="567"/>
        <w:jc w:val="both"/>
        <w:rPr>
          <w:sz w:val="28"/>
          <w:szCs w:val="28"/>
        </w:rPr>
      </w:pPr>
      <w:r>
        <w:rPr>
          <w:sz w:val="28"/>
          <w:szCs w:val="28"/>
        </w:rPr>
      </w:r>
    </w:p>
    <w:p>
      <w:pPr>
        <w:pStyle w:val="Normal"/>
        <w:spacing w:lineRule="auto" w:line="360" w:before="120" w:after="120"/>
        <w:contextualSpacing/>
        <w:jc w:val="center"/>
        <w:rPr/>
      </w:pPr>
      <w:r>
        <w:rPr>
          <w:b/>
          <w:sz w:val="28"/>
          <w:szCs w:val="28"/>
        </w:rPr>
        <w:t>2. Описание Флага</w:t>
      </w:r>
    </w:p>
    <w:p>
      <w:pPr>
        <w:pStyle w:val="Normal"/>
        <w:tabs>
          <w:tab w:val="clear" w:pos="720"/>
          <w:tab w:val="left" w:pos="567" w:leader="none"/>
        </w:tabs>
        <w:ind w:firstLine="567"/>
        <w:jc w:val="both"/>
        <w:rPr/>
      </w:pPr>
      <w:r>
        <w:rPr>
          <w:bCs/>
          <w:color w:val="000000"/>
          <w:sz w:val="28"/>
          <w:szCs w:val="28"/>
        </w:rPr>
        <w:t>Флаг представляет собой:</w:t>
      </w:r>
    </w:p>
    <w:p>
      <w:pPr>
        <w:pStyle w:val="Normal"/>
        <w:tabs>
          <w:tab w:val="clear" w:pos="720"/>
          <w:tab w:val="left" w:pos="567" w:leader="none"/>
        </w:tabs>
        <w:spacing w:before="0" w:after="113"/>
        <w:ind w:firstLine="567"/>
        <w:jc w:val="both"/>
        <w:rPr>
          <w:color w:val="000000"/>
          <w:sz w:val="28"/>
          <w:szCs w:val="28"/>
        </w:rPr>
      </w:pPr>
      <w:r>
        <w:rPr>
          <w:bCs/>
          <w:color w:val="000000"/>
          <w:sz w:val="28"/>
          <w:szCs w:val="28"/>
        </w:rPr>
        <w:t>«Прямоугольное полотнище с соотношением ширины к длине 2:3,</w:t>
      </w:r>
      <w:r>
        <w:rPr>
          <w:color w:val="000000"/>
          <w:sz w:val="28"/>
          <w:szCs w:val="28"/>
        </w:rPr>
        <w:t xml:space="preserve"> разделенное по вертикали на три неравные части: зеленую </w:t>
      </w:r>
      <w:r>
        <w:rPr>
          <w:bCs/>
          <w:color w:val="000000"/>
          <w:sz w:val="28"/>
          <w:szCs w:val="28"/>
        </w:rPr>
        <w:t>у древка в 1/5 ширины полотнища, белую в середине в 3/5 ширины полотнища и зеленую у свободного края в 1/5 ширины полотнища, и</w:t>
      </w:r>
      <w:r>
        <w:rPr>
          <w:color w:val="000000"/>
          <w:sz w:val="28"/>
          <w:szCs w:val="28"/>
        </w:rPr>
        <w:t xml:space="preserve"> несущее в центре белой полосы изображение фигур из Герба Кудымкарского муниципального округа: охотника коми-пермяка и перны; изображения выполнены в желтом, красном, черном, сером и белом цветах. </w:t>
      </w:r>
      <w:r>
        <w:rPr>
          <w:sz w:val="28"/>
          <w:szCs w:val="28"/>
        </w:rPr>
        <w:t>Обратная сторона полотнища зеркально воспроизводит лицевую».</w:t>
      </w:r>
    </w:p>
    <w:p>
      <w:pPr>
        <w:pStyle w:val="Normal"/>
        <w:spacing w:before="227" w:after="227"/>
        <w:contextualSpacing/>
        <w:jc w:val="center"/>
        <w:rPr/>
      </w:pPr>
      <w:r>
        <w:rPr>
          <w:b/>
          <w:sz w:val="28"/>
          <w:szCs w:val="28"/>
        </w:rPr>
        <w:t>3. Порядок воспроизведения Флага</w:t>
      </w:r>
    </w:p>
    <w:p>
      <w:pPr>
        <w:pStyle w:val="Normal"/>
        <w:spacing w:before="113" w:after="0"/>
        <w:ind w:firstLine="567"/>
        <w:jc w:val="both"/>
        <w:rPr>
          <w:sz w:val="28"/>
          <w:szCs w:val="28"/>
        </w:rPr>
      </w:pPr>
      <w:r>
        <w:rPr>
          <w:sz w:val="28"/>
          <w:szCs w:val="28"/>
        </w:rPr>
        <w:t xml:space="preserve">3.1. Воспроизведение </w:t>
      </w:r>
      <w:r>
        <w:rPr>
          <w:caps/>
          <w:sz w:val="28"/>
          <w:szCs w:val="28"/>
        </w:rPr>
        <w:t>Ф</w:t>
      </w:r>
      <w:r>
        <w:rPr>
          <w:sz w:val="28"/>
          <w:szCs w:val="28"/>
        </w:rPr>
        <w:t>лага, независимо от его размеров, техники исполнения и назначения, должно соответствовать описанию, приведенному в разделе 2 настоящего Положения и рисунку, приведенному в приложении к настоящему Положению.</w:t>
      </w:r>
    </w:p>
    <w:p>
      <w:pPr>
        <w:pStyle w:val="Normal"/>
        <w:spacing w:before="0" w:after="113"/>
        <w:ind w:firstLine="567"/>
        <w:jc w:val="both"/>
        <w:rPr/>
      </w:pPr>
      <w:r>
        <w:rPr>
          <w:sz w:val="28"/>
          <w:szCs w:val="28"/>
        </w:rPr>
        <w:t>3.2. Ответственность за искажение рисунка Флага или изменение композиции или цветов, выходящее за пределы геральдических правил, несет лицо, использующее Флаг с искажениями.</w:t>
      </w:r>
    </w:p>
    <w:p>
      <w:pPr>
        <w:pStyle w:val="Normal"/>
        <w:spacing w:lineRule="auto" w:line="360" w:before="240" w:after="240"/>
        <w:contextualSpacing/>
        <w:jc w:val="center"/>
        <w:rPr>
          <w:b/>
          <w:b/>
          <w:sz w:val="28"/>
          <w:szCs w:val="28"/>
        </w:rPr>
      </w:pPr>
      <w:r>
        <w:rPr>
          <w:b/>
          <w:sz w:val="28"/>
          <w:szCs w:val="28"/>
        </w:rPr>
        <w:t>4. Порядок официального использования Флага</w:t>
      </w:r>
    </w:p>
    <w:p>
      <w:pPr>
        <w:pStyle w:val="Normal"/>
        <w:ind w:firstLine="567"/>
        <w:jc w:val="both"/>
        <w:rPr/>
      </w:pPr>
      <w:r>
        <w:rPr>
          <w:sz w:val="28"/>
          <w:szCs w:val="28"/>
        </w:rPr>
        <w:t>4.1. Флаг поднят постоянно на зданиях, в которых размещаются органы местного самоуправления</w:t>
      </w:r>
      <w:r>
        <w:rPr>
          <w:bCs/>
          <w:sz w:val="28"/>
          <w:szCs w:val="28"/>
        </w:rPr>
        <w:t xml:space="preserve"> Кудымкарского муниципального округа</w:t>
      </w:r>
      <w:r>
        <w:rPr>
          <w:sz w:val="28"/>
          <w:szCs w:val="28"/>
        </w:rPr>
        <w:t>.</w:t>
      </w:r>
    </w:p>
    <w:p>
      <w:pPr>
        <w:pStyle w:val="Normal"/>
        <w:ind w:firstLine="567"/>
        <w:jc w:val="both"/>
        <w:rPr/>
      </w:pPr>
      <w:r>
        <w:rPr>
          <w:sz w:val="28"/>
          <w:szCs w:val="28"/>
        </w:rPr>
        <w:t>4.2. Флаг установлен постоянно:</w:t>
      </w:r>
    </w:p>
    <w:p>
      <w:pPr>
        <w:pStyle w:val="Normal"/>
        <w:ind w:firstLine="567"/>
        <w:jc w:val="both"/>
        <w:rPr/>
      </w:pPr>
      <w:r>
        <w:rPr>
          <w:sz w:val="28"/>
          <w:szCs w:val="28"/>
        </w:rPr>
        <w:t>- в залах заседаний органов местного самоуправления</w:t>
      </w:r>
      <w:r>
        <w:rPr>
          <w:bCs/>
          <w:sz w:val="28"/>
          <w:szCs w:val="28"/>
        </w:rPr>
        <w:t xml:space="preserve"> Кудымкарского муниципального округа</w:t>
      </w:r>
      <w:r>
        <w:rPr>
          <w:sz w:val="28"/>
          <w:szCs w:val="28"/>
        </w:rPr>
        <w:t>;</w:t>
      </w:r>
    </w:p>
    <w:p>
      <w:pPr>
        <w:pStyle w:val="Normal"/>
        <w:ind w:firstLine="567"/>
        <w:jc w:val="both"/>
        <w:rPr/>
      </w:pPr>
      <w:r>
        <w:rPr>
          <w:sz w:val="28"/>
          <w:szCs w:val="28"/>
        </w:rPr>
        <w:t>- в рабочих кабинетах выборных и назначаемых должностных лиц местного самоуправления</w:t>
      </w:r>
      <w:r>
        <w:rPr>
          <w:bCs/>
          <w:sz w:val="28"/>
          <w:szCs w:val="28"/>
        </w:rPr>
        <w:t xml:space="preserve"> Кудымкарского муниципального округа</w:t>
      </w:r>
      <w:r>
        <w:rPr>
          <w:sz w:val="28"/>
          <w:szCs w:val="28"/>
        </w:rPr>
        <w:t>.</w:t>
      </w:r>
    </w:p>
    <w:p>
      <w:pPr>
        <w:pStyle w:val="Normal"/>
        <w:ind w:firstLine="567"/>
        <w:jc w:val="both"/>
        <w:rPr/>
      </w:pPr>
      <w:r>
        <w:rPr>
          <w:sz w:val="28"/>
          <w:szCs w:val="28"/>
        </w:rPr>
        <w:t>4.3. Флаг может:</w:t>
      </w:r>
    </w:p>
    <w:p>
      <w:pPr>
        <w:pStyle w:val="Normal"/>
        <w:ind w:firstLine="567"/>
        <w:jc w:val="both"/>
        <w:rPr/>
      </w:pPr>
      <w:r>
        <w:rPr>
          <w:sz w:val="28"/>
          <w:szCs w:val="28"/>
        </w:rPr>
        <w:t xml:space="preserve">-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w:t>
      </w:r>
      <w:r>
        <w:rPr>
          <w:bCs/>
          <w:sz w:val="28"/>
          <w:szCs w:val="28"/>
        </w:rPr>
        <w:t>Кудымкарский муниципальный округ;</w:t>
      </w:r>
    </w:p>
    <w:p>
      <w:pPr>
        <w:pStyle w:val="Normal"/>
        <w:ind w:firstLine="567"/>
        <w:jc w:val="both"/>
        <w:rPr/>
      </w:pPr>
      <w:r>
        <w:rPr>
          <w:sz w:val="28"/>
          <w:szCs w:val="28"/>
        </w:rPr>
        <w:t xml:space="preserve">- быть установлен постоянно в залах заседаний руководящих органов и в рабочих кабинетах руководителей органов местного самоуправления,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которых является </w:t>
      </w:r>
      <w:r>
        <w:rPr>
          <w:bCs/>
          <w:sz w:val="28"/>
          <w:szCs w:val="28"/>
        </w:rPr>
        <w:t>Кудымкарский муниципальный округ</w:t>
      </w:r>
      <w:r>
        <w:rPr>
          <w:sz w:val="28"/>
          <w:szCs w:val="28"/>
        </w:rPr>
        <w:t>.</w:t>
      </w:r>
    </w:p>
    <w:p>
      <w:pPr>
        <w:pStyle w:val="Normal"/>
        <w:ind w:firstLine="567"/>
        <w:jc w:val="both"/>
        <w:rPr/>
      </w:pPr>
      <w:r>
        <w:rPr>
          <w:sz w:val="28"/>
          <w:szCs w:val="28"/>
        </w:rPr>
        <w:t>4.4. Флаг поднимается (устанавливается):</w:t>
      </w:r>
    </w:p>
    <w:p>
      <w:pPr>
        <w:pStyle w:val="Normal"/>
        <w:tabs>
          <w:tab w:val="clear" w:pos="720"/>
          <w:tab w:val="left" w:pos="900" w:leader="none"/>
        </w:tabs>
        <w:ind w:firstLine="567"/>
        <w:jc w:val="both"/>
        <w:rPr>
          <w:sz w:val="28"/>
          <w:szCs w:val="28"/>
        </w:rPr>
      </w:pPr>
      <w:r>
        <w:rPr>
          <w:sz w:val="28"/>
          <w:szCs w:val="28"/>
        </w:rPr>
        <w:t>- в дни государственных праздников – наряду с Государственным флагом Российской Федерации;</w:t>
      </w:r>
    </w:p>
    <w:p>
      <w:pPr>
        <w:pStyle w:val="Normal"/>
        <w:ind w:firstLine="567"/>
        <w:jc w:val="both"/>
        <w:rPr/>
      </w:pPr>
      <w:r>
        <w:rPr>
          <w:sz w:val="28"/>
          <w:szCs w:val="28"/>
        </w:rPr>
        <w:t>- во время официальных церемоний и других торжественных мероприятий, проводимых органами местного самоуправления Кудымкарского муниципального округа.</w:t>
      </w:r>
    </w:p>
    <w:p>
      <w:pPr>
        <w:pStyle w:val="Normal"/>
        <w:ind w:firstLine="567"/>
        <w:jc w:val="both"/>
        <w:rPr/>
      </w:pPr>
      <w:r>
        <w:rPr>
          <w:sz w:val="28"/>
          <w:szCs w:val="28"/>
        </w:rPr>
        <w:t>4.5. Флаг может быть поднят (установлен) постоянно или временно:</w:t>
      </w:r>
    </w:p>
    <w:p>
      <w:pPr>
        <w:pStyle w:val="Normal"/>
        <w:ind w:firstLine="567"/>
        <w:jc w:val="both"/>
        <w:rPr/>
      </w:pPr>
      <w:r>
        <w:rPr>
          <w:sz w:val="28"/>
          <w:szCs w:val="28"/>
        </w:rPr>
        <w:t xml:space="preserve">- в памятных, мемориальных и значимых местах расположенных на территории </w:t>
      </w:r>
      <w:r>
        <w:rPr>
          <w:bCs/>
          <w:sz w:val="28"/>
          <w:szCs w:val="28"/>
        </w:rPr>
        <w:t>Кудымкарского муниципального округа;</w:t>
      </w:r>
    </w:p>
    <w:p>
      <w:pPr>
        <w:pStyle w:val="Normal"/>
        <w:ind w:firstLine="567"/>
        <w:jc w:val="both"/>
        <w:rPr/>
      </w:pPr>
      <w:r>
        <w:rPr>
          <w:sz w:val="28"/>
          <w:szCs w:val="28"/>
        </w:rPr>
        <w:t xml:space="preserve">- в местах массовых собраний жителей </w:t>
      </w:r>
      <w:r>
        <w:rPr>
          <w:bCs/>
          <w:sz w:val="28"/>
          <w:szCs w:val="28"/>
        </w:rPr>
        <w:t>Кудымкарского муниципального округа;</w:t>
      </w:r>
    </w:p>
    <w:p>
      <w:pPr>
        <w:pStyle w:val="Normal"/>
        <w:ind w:firstLine="567"/>
        <w:jc w:val="both"/>
        <w:rPr/>
      </w:pPr>
      <w:r>
        <w:rPr>
          <w:sz w:val="28"/>
          <w:szCs w:val="28"/>
        </w:rPr>
        <w:t>- в образовательных организациях Кудымкарс</w:t>
      </w:r>
      <w:r>
        <w:rPr>
          <w:sz w:val="28"/>
          <w:szCs w:val="28"/>
        </w:rPr>
        <w:t>к</w:t>
      </w:r>
      <w:r>
        <w:rPr>
          <w:sz w:val="28"/>
          <w:szCs w:val="28"/>
        </w:rPr>
        <w:t>ого муниципального округа.</w:t>
      </w:r>
    </w:p>
    <w:p>
      <w:pPr>
        <w:pStyle w:val="Normal"/>
        <w:ind w:firstLine="567"/>
        <w:jc w:val="both"/>
        <w:rPr/>
      </w:pPr>
      <w:r>
        <w:rPr>
          <w:sz w:val="28"/>
          <w:szCs w:val="28"/>
        </w:rPr>
        <w:t>4.6. Флаг или его изображение могут быть использованы в качестве элемента или геральдической основы:</w:t>
      </w:r>
    </w:p>
    <w:p>
      <w:pPr>
        <w:pStyle w:val="Normal"/>
        <w:ind w:firstLine="567"/>
        <w:jc w:val="both"/>
        <w:rPr/>
      </w:pPr>
      <w:r>
        <w:rPr>
          <w:sz w:val="28"/>
          <w:szCs w:val="28"/>
        </w:rPr>
        <w:t xml:space="preserve">-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которых является </w:t>
      </w:r>
      <w:r>
        <w:rPr>
          <w:bCs/>
          <w:sz w:val="28"/>
          <w:szCs w:val="28"/>
        </w:rPr>
        <w:t>Кудымкарский муниципальный округ;</w:t>
      </w:r>
    </w:p>
    <w:p>
      <w:pPr>
        <w:pStyle w:val="Normal"/>
        <w:ind w:firstLine="567"/>
        <w:jc w:val="both"/>
        <w:rPr/>
      </w:pPr>
      <w:r>
        <w:rPr>
          <w:sz w:val="28"/>
          <w:szCs w:val="28"/>
        </w:rPr>
        <w:t xml:space="preserve">- наград </w:t>
      </w:r>
      <w:r>
        <w:rPr>
          <w:bCs/>
          <w:sz w:val="28"/>
          <w:szCs w:val="28"/>
        </w:rPr>
        <w:t>Кудымкарского муниципального округа;</w:t>
      </w:r>
    </w:p>
    <w:p>
      <w:pPr>
        <w:pStyle w:val="Normal"/>
        <w:ind w:firstLine="567"/>
        <w:jc w:val="both"/>
        <w:rPr>
          <w:sz w:val="28"/>
          <w:szCs w:val="28"/>
        </w:rPr>
      </w:pPr>
      <w:r>
        <w:rPr>
          <w:sz w:val="28"/>
          <w:szCs w:val="28"/>
        </w:rPr>
        <w:t>- должностных и отличительных знаков выборных и назначаемых должностных лиц, сотрудников местного самоуправления Кудымкарского муниципального округа Пермского края и его подразделений.</w:t>
      </w:r>
    </w:p>
    <w:p>
      <w:pPr>
        <w:pStyle w:val="Normal"/>
        <w:ind w:firstLine="567"/>
        <w:jc w:val="both"/>
        <w:rPr/>
      </w:pPr>
      <w:r>
        <w:rPr>
          <w:sz w:val="28"/>
          <w:szCs w:val="28"/>
        </w:rPr>
        <w:t>4.7. Допускается размещение Флага и его изображения:</w:t>
      </w:r>
    </w:p>
    <w:p>
      <w:pPr>
        <w:pStyle w:val="Normal"/>
        <w:ind w:firstLine="567"/>
        <w:jc w:val="both"/>
        <w:rPr/>
      </w:pPr>
      <w:r>
        <w:rPr>
          <w:sz w:val="28"/>
          <w:szCs w:val="28"/>
        </w:rPr>
        <w:t>- в печатных и иных изданиях информационного, официального, научного, научно-популярного, познавательного, краеведческого, географического, путеводительного и сувенирного характера;</w:t>
      </w:r>
    </w:p>
    <w:p>
      <w:pPr>
        <w:pStyle w:val="Normal"/>
        <w:ind w:firstLine="567"/>
        <w:jc w:val="both"/>
        <w:rPr/>
      </w:pPr>
      <w:r>
        <w:rPr>
          <w:sz w:val="28"/>
          <w:szCs w:val="28"/>
        </w:rPr>
        <w:t>- на грамотах, приглашениях, визитных карточках главы муниципального округа - главы администрации Кудымкарского муниципального округа Пермского края, должностных лиц органов местного самоуправления Кудымкарского муниципального округа Пермского края, отраслевых (функциональных) органов администрации Кудымкарского муниципального округа Пермского края депутатов Думы Кудымкарского муниципального округа.</w:t>
      </w:r>
    </w:p>
    <w:p>
      <w:pPr>
        <w:pStyle w:val="Normal"/>
        <w:ind w:firstLine="567"/>
        <w:jc w:val="both"/>
        <w:rPr/>
      </w:pPr>
      <w:r>
        <w:rPr>
          <w:sz w:val="28"/>
          <w:szCs w:val="28"/>
        </w:rPr>
        <w:t xml:space="preserve">4.8. Допускается использование изображения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w:t>
      </w:r>
      <w:r>
        <w:rPr>
          <w:bCs/>
          <w:sz w:val="28"/>
          <w:szCs w:val="28"/>
        </w:rPr>
        <w:t xml:space="preserve">Кудымкарском муниципальном округе </w:t>
      </w:r>
      <w:r>
        <w:rPr>
          <w:sz w:val="28"/>
          <w:szCs w:val="28"/>
        </w:rPr>
        <w:t xml:space="preserve">или непосредственно связанных с </w:t>
      </w:r>
      <w:r>
        <w:rPr>
          <w:bCs/>
          <w:sz w:val="28"/>
          <w:szCs w:val="28"/>
        </w:rPr>
        <w:t>Кудымкарским</w:t>
      </w:r>
      <w:r>
        <w:rPr>
          <w:sz w:val="28"/>
          <w:szCs w:val="28"/>
        </w:rPr>
        <w:t xml:space="preserve"> муниципальным округом.</w:t>
      </w:r>
    </w:p>
    <w:p>
      <w:pPr>
        <w:pStyle w:val="Normal"/>
        <w:ind w:firstLine="567"/>
        <w:jc w:val="both"/>
        <w:rPr>
          <w:sz w:val="28"/>
          <w:szCs w:val="28"/>
        </w:rPr>
      </w:pPr>
      <w:r>
        <w:rPr>
          <w:sz w:val="28"/>
          <w:szCs w:val="28"/>
        </w:rPr>
        <w:t>4.9. При использовании Флага в знак траура Флаг приспускается до половины высоты флагштока (мачты). При невозможности приспустить</w:t>
      </w:r>
      <w:r>
        <w:rPr>
          <w:caps/>
          <w:sz w:val="28"/>
          <w:szCs w:val="28"/>
        </w:rPr>
        <w:t xml:space="preserve"> </w:t>
      </w:r>
      <w:r>
        <w:rPr>
          <w:sz w:val="28"/>
          <w:szCs w:val="28"/>
        </w:rPr>
        <w:t>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w:t>
      </w:r>
    </w:p>
    <w:p>
      <w:pPr>
        <w:pStyle w:val="Normal"/>
        <w:ind w:firstLine="567"/>
        <w:jc w:val="both"/>
        <w:rPr/>
      </w:pPr>
      <w:r>
        <w:rPr>
          <w:sz w:val="28"/>
          <w:szCs w:val="28"/>
        </w:rPr>
        <w:t>4.10.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w:t>
      </w:r>
    </w:p>
    <w:p>
      <w:pPr>
        <w:pStyle w:val="Normal"/>
        <w:ind w:firstLine="567"/>
        <w:jc w:val="both"/>
        <w:rPr/>
      </w:pPr>
      <w:r>
        <w:rPr>
          <w:sz w:val="28"/>
          <w:szCs w:val="28"/>
        </w:rPr>
        <w:t>При одновременном подъеме (размещении) Флага и флага Пермского края, Флаг располагается справа от флага Пермского края (с точки зрения стоящего лицом к флагам).</w:t>
      </w:r>
    </w:p>
    <w:p>
      <w:pPr>
        <w:pStyle w:val="Normal"/>
        <w:ind w:firstLine="567"/>
        <w:jc w:val="both"/>
        <w:rPr/>
      </w:pPr>
      <w:r>
        <w:rPr>
          <w:sz w:val="28"/>
          <w:szCs w:val="28"/>
        </w:rPr>
        <w:t>При одновременном подъеме (размещении) Флага, Государственного флага Российской Федерации и флага Пермского края, Государственный флаг Российской Федерации располагается в центре, а Флаг – справа от центра (с точки зрения стоящего лицом к флагам).</w:t>
      </w:r>
    </w:p>
    <w:p>
      <w:pPr>
        <w:pStyle w:val="Normal"/>
        <w:ind w:firstLine="567"/>
        <w:jc w:val="both"/>
        <w:rPr/>
      </w:pPr>
      <w:r>
        <w:rPr>
          <w:sz w:val="28"/>
          <w:szCs w:val="28"/>
        </w:rPr>
        <w:t>При одновременном подъёме (размещении) чётного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Пермского края, слева от Государственного флага Российской Федерации располагается Флаг; справа от флага Пермского края располагается флаг иного муниципального образования, общественного объединения, либо предприятия, учреждения или организации.</w:t>
      </w:r>
    </w:p>
    <w:p>
      <w:pPr>
        <w:pStyle w:val="Normal"/>
        <w:ind w:firstLine="567"/>
        <w:jc w:val="both"/>
        <w:rPr/>
      </w:pPr>
      <w:r>
        <w:rPr>
          <w:sz w:val="28"/>
          <w:szCs w:val="28"/>
        </w:rPr>
        <w:t>4.11. Размер полотнища Флага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pPr>
        <w:pStyle w:val="Normal"/>
        <w:ind w:firstLine="567"/>
        <w:jc w:val="both"/>
        <w:rPr>
          <w:sz w:val="28"/>
          <w:szCs w:val="28"/>
        </w:rPr>
      </w:pPr>
      <w:r>
        <w:rPr>
          <w:sz w:val="28"/>
          <w:szCs w:val="28"/>
        </w:rPr>
        <w:t>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pPr>
        <w:pStyle w:val="Normal"/>
        <w:spacing w:before="0" w:after="113"/>
        <w:ind w:firstLine="567"/>
        <w:jc w:val="both"/>
        <w:rPr/>
      </w:pPr>
      <w:r>
        <w:rPr>
          <w:bCs/>
          <w:sz w:val="28"/>
          <w:szCs w:val="28"/>
        </w:rPr>
        <w:t>4.12.</w:t>
      </w:r>
      <w:r>
        <w:rPr>
          <w:sz w:val="28"/>
          <w:szCs w:val="28"/>
        </w:rPr>
        <w:t xml:space="preserve"> Иные случаи использования Флага устанавливаются главой муниципального округа - главой администрации Кудымкарского муниципального округа Пермского края.</w:t>
      </w:r>
    </w:p>
    <w:p>
      <w:pPr>
        <w:pStyle w:val="Normal"/>
        <w:spacing w:before="113" w:after="0"/>
        <w:jc w:val="center"/>
        <w:rPr/>
      </w:pPr>
      <w:r>
        <w:rPr>
          <w:b/>
          <w:sz w:val="28"/>
          <w:szCs w:val="28"/>
        </w:rPr>
        <w:t>5. Ответственность за нарушение настоящего Положения</w:t>
      </w:r>
    </w:p>
    <w:p>
      <w:pPr>
        <w:pStyle w:val="Normal"/>
        <w:spacing w:before="113" w:after="0"/>
        <w:ind w:firstLine="567"/>
        <w:jc w:val="both"/>
        <w:rPr>
          <w:sz w:val="28"/>
          <w:szCs w:val="28"/>
        </w:rPr>
      </w:pPr>
      <w:r>
        <w:rPr>
          <w:sz w:val="28"/>
          <w:szCs w:val="28"/>
        </w:rPr>
        <w:t>Использование Флага с нарушением настоящего Положения, а также надругательство над Флагом влечет за собой ответственность в соответствии с законодательством Российской Федерации.</w:t>
      </w:r>
    </w:p>
    <w:p>
      <w:pPr>
        <w:pStyle w:val="Normal"/>
        <w:spacing w:before="113" w:after="113"/>
        <w:jc w:val="center"/>
        <w:rPr/>
      </w:pPr>
      <w:r>
        <w:rPr>
          <w:b/>
          <w:sz w:val="28"/>
          <w:szCs w:val="28"/>
        </w:rPr>
        <w:t>6. Заключительные положения</w:t>
      </w:r>
    </w:p>
    <w:p>
      <w:pPr>
        <w:pStyle w:val="Normal"/>
        <w:ind w:firstLine="567"/>
        <w:jc w:val="both"/>
        <w:rPr>
          <w:sz w:val="28"/>
          <w:szCs w:val="28"/>
        </w:rPr>
      </w:pPr>
      <w:r>
        <w:rPr>
          <w:sz w:val="28"/>
          <w:szCs w:val="28"/>
        </w:rPr>
        <w:t>6.1. Внесение в состав (рисунок) Флага каких-либо изменений или дополнений, а также элементов официальных символов Пермского края допустимо лишь в соответствии с законодательством Российской Федерации и законодательством Пермского края. Эти изменения должны сопровождаться пересмотром статьи 2 настоящего Положения для отражения внесенных элементов в описании.</w:t>
      </w:r>
    </w:p>
    <w:p>
      <w:pPr>
        <w:pStyle w:val="Normal"/>
        <w:ind w:firstLine="567"/>
        <w:jc w:val="both"/>
        <w:rPr/>
      </w:pPr>
      <w:r>
        <w:rPr>
          <w:sz w:val="28"/>
          <w:szCs w:val="28"/>
        </w:rPr>
        <w:t xml:space="preserve">6.2. Все права на Флаг принадлежит органам местного самоуправления </w:t>
      </w:r>
      <w:r>
        <w:rPr>
          <w:bCs/>
          <w:sz w:val="28"/>
          <w:szCs w:val="28"/>
        </w:rPr>
        <w:t>Кудымкарского муниципального округа</w:t>
      </w:r>
      <w:r>
        <w:rPr>
          <w:sz w:val="28"/>
          <w:szCs w:val="28"/>
        </w:rPr>
        <w:t>.</w:t>
      </w:r>
    </w:p>
    <w:p>
      <w:pPr>
        <w:sectPr>
          <w:type w:val="nextPage"/>
          <w:pgSz w:w="11906" w:h="16838"/>
          <w:pgMar w:left="1418" w:right="567" w:gutter="0" w:header="0" w:top="1134" w:footer="0" w:bottom="1134"/>
          <w:pgNumType w:fmt="decimal"/>
          <w:formProt w:val="false"/>
          <w:textDirection w:val="lrTb"/>
          <w:docGrid w:type="default" w:linePitch="360" w:charSpace="0"/>
        </w:sectPr>
        <w:pStyle w:val="Normal"/>
        <w:ind w:firstLine="567"/>
        <w:jc w:val="both"/>
        <w:rPr/>
      </w:pPr>
      <w:r>
        <w:rPr>
          <w:spacing w:val="-6"/>
          <w:sz w:val="28"/>
          <w:szCs w:val="28"/>
        </w:rPr>
        <w:t>6.3. Флаг с момента установления его Думой Кудымкарского муниципального округа Пермского края в качестве официального символа Кудымкарского муниципального округа Пермского края, согласно п.2 ч.6 ст.1259 «</w:t>
      </w:r>
      <w:r>
        <w:rPr>
          <w:bCs/>
          <w:spacing w:val="-6"/>
          <w:sz w:val="28"/>
          <w:szCs w:val="28"/>
        </w:rPr>
        <w:t xml:space="preserve">Объекты авторских прав» </w:t>
      </w:r>
      <w:r>
        <w:rPr>
          <w:spacing w:val="-6"/>
          <w:sz w:val="28"/>
          <w:szCs w:val="28"/>
        </w:rPr>
        <w:t>части 4 Гражданского кодекса Российской Федерации, авторским правом не охраняется.</w:t>
      </w:r>
    </w:p>
    <w:tbl>
      <w:tblPr>
        <w:tblStyle w:val="af5"/>
        <w:tblW w:w="9889"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784"/>
        <w:gridCol w:w="5104"/>
      </w:tblGrid>
      <w:tr>
        <w:trPr/>
        <w:tc>
          <w:tcPr>
            <w:tcW w:w="4784" w:type="dxa"/>
            <w:tcBorders>
              <w:top w:val="nil"/>
              <w:left w:val="nil"/>
              <w:bottom w:val="nil"/>
              <w:right w:val="nil"/>
            </w:tcBorders>
            <w:shd w:color="auto" w:fill="auto" w:val="clear"/>
          </w:tcPr>
          <w:p>
            <w:pPr>
              <w:pStyle w:val="Normal"/>
              <w:widowControl w:val="false"/>
              <w:suppressAutoHyphens w:val="true"/>
              <w:spacing w:before="0" w:after="0"/>
              <w:jc w:val="left"/>
              <w:rPr>
                <w:sz w:val="28"/>
                <w:szCs w:val="28"/>
              </w:rPr>
            </w:pPr>
            <w:r>
              <w:rPr>
                <w:kern w:val="0"/>
                <w:sz w:val="28"/>
                <w:szCs w:val="28"/>
                <w:lang w:val="ru-RU" w:bidi="ar-SA"/>
              </w:rPr>
            </w:r>
          </w:p>
        </w:tc>
        <w:tc>
          <w:tcPr>
            <w:tcW w:w="5104" w:type="dxa"/>
            <w:tcBorders>
              <w:top w:val="nil"/>
              <w:left w:val="nil"/>
              <w:bottom w:val="nil"/>
              <w:right w:val="nil"/>
            </w:tcBorders>
            <w:shd w:color="auto" w:fill="auto" w:val="clear"/>
          </w:tcPr>
          <w:p>
            <w:pPr>
              <w:pStyle w:val="Normal"/>
              <w:widowControl w:val="false"/>
              <w:suppressAutoHyphens w:val="true"/>
              <w:spacing w:before="0" w:after="0"/>
              <w:jc w:val="both"/>
              <w:rPr>
                <w:sz w:val="28"/>
                <w:szCs w:val="28"/>
              </w:rPr>
            </w:pPr>
            <w:r>
              <w:rPr>
                <w:kern w:val="0"/>
                <w:sz w:val="28"/>
                <w:szCs w:val="28"/>
                <w:lang w:val="ru-RU" w:bidi="ar-SA"/>
              </w:rPr>
              <w:t>Приложение</w:t>
            </w:r>
          </w:p>
          <w:p>
            <w:pPr>
              <w:pStyle w:val="Normal"/>
              <w:widowControl w:val="false"/>
              <w:suppressAutoHyphens w:val="true"/>
              <w:spacing w:before="0" w:after="0"/>
              <w:jc w:val="both"/>
              <w:rPr>
                <w:sz w:val="28"/>
                <w:szCs w:val="28"/>
              </w:rPr>
            </w:pPr>
            <w:r>
              <w:rPr>
                <w:kern w:val="0"/>
                <w:sz w:val="28"/>
                <w:szCs w:val="28"/>
                <w:lang w:val="ru-RU" w:bidi="ar-SA"/>
              </w:rPr>
              <w:t>к Положению о флаге Кудымкарского муниципального округа Пермского края</w:t>
            </w:r>
          </w:p>
        </w:tc>
      </w:tr>
    </w:tbl>
    <w:p>
      <w:pPr>
        <w:pStyle w:val="Normal"/>
        <w:rPr>
          <w:sz w:val="28"/>
          <w:szCs w:val="28"/>
        </w:rPr>
      </w:pPr>
      <w:r>
        <w:rPr>
          <w:sz w:val="28"/>
          <w:szCs w:val="28"/>
        </w:rPr>
      </w:r>
    </w:p>
    <w:p>
      <w:pPr>
        <w:pStyle w:val="Normal"/>
        <w:jc w:val="center"/>
        <w:rPr/>
      </w:pPr>
      <w:r>
        <w:rPr>
          <w:sz w:val="32"/>
          <w:szCs w:val="32"/>
        </w:rPr>
        <w:t>Рисунок флага</w:t>
      </w:r>
    </w:p>
    <w:p>
      <w:pPr>
        <w:pStyle w:val="Normal"/>
        <w:jc w:val="center"/>
        <w:rPr>
          <w:b/>
          <w:b/>
          <w:sz w:val="32"/>
          <w:szCs w:val="32"/>
        </w:rPr>
      </w:pPr>
      <w:r>
        <w:rPr>
          <w:sz w:val="28"/>
          <w:szCs w:val="28"/>
        </w:rPr>
        <w:t>Кудымкарского муниципального округа Пермского края</w:t>
      </w:r>
    </w:p>
    <w:p>
      <w:pPr>
        <w:pStyle w:val="Normal"/>
        <w:jc w:val="center"/>
        <w:rPr>
          <w:sz w:val="32"/>
          <w:szCs w:val="32"/>
        </w:rPr>
      </w:pPr>
      <w:r>
        <w:rPr/>
        <mc:AlternateContent>
          <mc:Choice Requires="wps">
            <w:drawing>
              <wp:anchor behindDoc="0" distT="0" distB="0" distL="114300" distR="0" simplePos="0" locked="0" layoutInCell="0" allowOverlap="1" relativeHeight="7">
                <wp:simplePos x="0" y="0"/>
                <wp:positionH relativeFrom="column">
                  <wp:posOffset>635</wp:posOffset>
                </wp:positionH>
                <wp:positionV relativeFrom="paragraph">
                  <wp:posOffset>635</wp:posOffset>
                </wp:positionV>
                <wp:extent cx="635000" cy="635000"/>
                <wp:effectExtent l="635" t="0" r="0" b="0"/>
                <wp:wrapNone/>
                <wp:docPr id="4" name="_x0000_tole_rId5"/>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_x0000_tole_rId5" stroked="f" o:allowincell="f" style="position:absolute;margin-left:0.05pt;margin-top:0pt;width:49.95pt;height:49.95pt;mso-wrap-style:none;v-text-anchor:middle" type="_x0000_t75">
                <v:fill o:detectmouseclick="t" on="false"/>
                <v:stroke color="#3465a4" joinstyle="round" endcap="flat"/>
                <w10:wrap type="none"/>
              </v:shape>
            </w:pict>
          </mc:Fallback>
        </mc:AlternateContent>
        <w:object>
          <v:shapetype id="_x0000_tole_rId5" coordsize="21600,21600" o:spt="ole_rId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type="_x0000_tole_rId5" style="width:18pt;height:256.5pt;mso-wrap-distance-right:0pt" filled="t" fillcolor="#FFFFFF" o:ole="">
            <v:imagedata r:id="rId6" o:title=""/>
          </v:shape>
          <o:OLEObject Type="Embed" ProgID="Adobe.Illustrator.7" ShapeID="ole_rId5" DrawAspect="Content" ObjectID="_1915716518" r:id="rId5"/>
        </w:object>
      </w:r>
    </w:p>
    <w:p>
      <w:pPr>
        <w:pStyle w:val="Normal"/>
        <w:jc w:val="center"/>
        <w:rPr/>
      </w:pPr>
      <w:r>
        <w:rPr>
          <w:sz w:val="32"/>
          <w:szCs w:val="32"/>
        </w:rPr>
        <w:t>(лицевая сторона)</w:t>
      </w:r>
    </w:p>
    <w:p>
      <w:pPr>
        <w:pStyle w:val="Normal"/>
        <w:jc w:val="center"/>
        <w:rPr>
          <w:sz w:val="32"/>
          <w:szCs w:val="32"/>
        </w:rPr>
      </w:pPr>
      <w:r>
        <w:rPr>
          <w:sz w:val="32"/>
          <w:szCs w:val="32"/>
        </w:rPr>
        <w:br/>
      </w:r>
      <w:r>
        <w:rPr/>
        <w:drawing>
          <wp:inline distT="0" distB="0" distL="0" distR="0">
            <wp:extent cx="5942330" cy="6324600"/>
            <wp:effectExtent l="0" t="0" r="0" b="0"/>
            <wp:docPr id="5" name="Рисунок 5" descr="F:\Documents and Settings\User\Рабочий стол\флаг\attachments_05-10-2010_14-59-47\Кудымкарский МР фл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F:\Documents and Settings\User\Рабочий стол\флаг\attachments_05-10-2010_14-59-47\Кудымкарский МР флаг.jpg"/>
                    <pic:cNvPicPr>
                      <a:picLocks noChangeAspect="1" noChangeArrowheads="1"/>
                    </pic:cNvPicPr>
                  </pic:nvPicPr>
                  <pic:blipFill>
                    <a:blip r:embed="rId7"/>
                    <a:srcRect l="0" t="25811" r="0" b="0"/>
                    <a:stretch>
                      <a:fillRect/>
                    </a:stretch>
                  </pic:blipFill>
                  <pic:spPr bwMode="auto">
                    <a:xfrm>
                      <a:off x="0" y="0"/>
                      <a:ext cx="5942330" cy="6324600"/>
                    </a:xfrm>
                    <a:prstGeom prst="rect">
                      <a:avLst/>
                    </a:prstGeom>
                  </pic:spPr>
                </pic:pic>
              </a:graphicData>
            </a:graphic>
          </wp:inline>
        </w:drawing>
      </w:r>
    </w:p>
    <w:p>
      <w:pPr>
        <w:pStyle w:val="Normal"/>
        <w:jc w:val="center"/>
        <w:rPr>
          <w:sz w:val="32"/>
          <w:szCs w:val="32"/>
        </w:rPr>
      </w:pPr>
      <w:r>
        <w:rPr/>
        <w:drawing>
          <wp:inline distT="0" distB="0" distL="0" distR="0">
            <wp:extent cx="5942330" cy="6324600"/>
            <wp:effectExtent l="0" t="0" r="0" b="0"/>
            <wp:docPr id="6" name="Рисунок 2" descr="F:\Documents and Settings\User\Рабочий стол\флаг\attachments_05-10-2010_14-59-47\Кудымкарский МР фл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descr="F:\Documents and Settings\User\Рабочий стол\флаг\attachments_05-10-2010_14-59-47\Кудымкарский МР флаг.jpg"/>
                    <pic:cNvPicPr>
                      <a:picLocks noChangeAspect="1" noChangeArrowheads="1"/>
                    </pic:cNvPicPr>
                  </pic:nvPicPr>
                  <pic:blipFill>
                    <a:blip r:embed="rId8"/>
                    <a:srcRect l="0" t="25811" r="0" b="0"/>
                    <a:stretch>
                      <a:fillRect/>
                    </a:stretch>
                  </pic:blipFill>
                  <pic:spPr bwMode="auto">
                    <a:xfrm flipH="1">
                      <a:off x="0" y="0"/>
                      <a:ext cx="5942330" cy="6324600"/>
                    </a:xfrm>
                    <a:prstGeom prst="rect">
                      <a:avLst/>
                    </a:prstGeom>
                  </pic:spPr>
                </pic:pic>
              </a:graphicData>
            </a:graphic>
          </wp:inline>
        </w:drawing>
      </w:r>
    </w:p>
    <w:p>
      <w:pPr>
        <w:pStyle w:val="Normal"/>
        <w:jc w:val="center"/>
        <w:rPr/>
      </w:pPr>
      <w:r>
        <w:rPr/>
        <w:t>( обратная сторона)</w:t>
      </w:r>
    </w:p>
    <w:sectPr>
      <w:type w:val="nextPage"/>
      <w:pgSz w:w="11906" w:h="16838"/>
      <w:pgMar w:left="1418"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decimal"/>
      <w:lvlText w:val="%1."/>
      <w:lvlJc w:val="left"/>
      <w:pPr>
        <w:tabs>
          <w:tab w:val="num" w:pos="0"/>
        </w:tabs>
        <w:ind w:left="0" w:hanging="360"/>
      </w:pPr>
      <w:rPr/>
    </w:lvl>
    <w:lvl w:ilvl="1">
      <w:start w:val="1"/>
      <w:numFmt w:val="lowerLetter"/>
      <w:lvlText w:val="%2."/>
      <w:lvlJc w:val="left"/>
      <w:pPr>
        <w:tabs>
          <w:tab w:val="num" w:pos="0"/>
        </w:tabs>
        <w:ind w:left="720" w:hanging="360"/>
      </w:pPr>
      <w:rPr/>
    </w:lvl>
    <w:lvl w:ilvl="2">
      <w:start w:val="1"/>
      <w:numFmt w:val="lowerRoman"/>
      <w:lvlText w:val="%3."/>
      <w:lvlJc w:val="right"/>
      <w:pPr>
        <w:tabs>
          <w:tab w:val="num" w:pos="0"/>
        </w:tabs>
        <w:ind w:left="1440" w:hanging="180"/>
      </w:pPr>
      <w:rPr/>
    </w:lvl>
    <w:lvl w:ilvl="3">
      <w:start w:val="1"/>
      <w:numFmt w:val="decimal"/>
      <w:lvlText w:val="%4."/>
      <w:lvlJc w:val="left"/>
      <w:pPr>
        <w:tabs>
          <w:tab w:val="num" w:pos="0"/>
        </w:tabs>
        <w:ind w:left="2160" w:hanging="360"/>
      </w:pPr>
      <w:rPr/>
    </w:lvl>
    <w:lvl w:ilvl="4">
      <w:start w:val="1"/>
      <w:numFmt w:val="lowerLetter"/>
      <w:lvlText w:val="%5."/>
      <w:lvlJc w:val="left"/>
      <w:pPr>
        <w:tabs>
          <w:tab w:val="num" w:pos="0"/>
        </w:tabs>
        <w:ind w:left="2880" w:hanging="360"/>
      </w:pPr>
      <w:rPr/>
    </w:lvl>
    <w:lvl w:ilvl="5">
      <w:start w:val="1"/>
      <w:numFmt w:val="lowerRoman"/>
      <w:lvlText w:val="%6."/>
      <w:lvlJc w:val="right"/>
      <w:pPr>
        <w:tabs>
          <w:tab w:val="num" w:pos="0"/>
        </w:tabs>
        <w:ind w:left="3600" w:hanging="180"/>
      </w:pPr>
      <w:rPr/>
    </w:lvl>
    <w:lvl w:ilvl="6">
      <w:start w:val="1"/>
      <w:numFmt w:val="decimal"/>
      <w:lvlText w:val="%7."/>
      <w:lvlJc w:val="left"/>
      <w:pPr>
        <w:tabs>
          <w:tab w:val="num" w:pos="0"/>
        </w:tabs>
        <w:ind w:left="4320" w:hanging="360"/>
      </w:pPr>
      <w:rPr/>
    </w:lvl>
    <w:lvl w:ilvl="7">
      <w:start w:val="1"/>
      <w:numFmt w:val="lowerLetter"/>
      <w:lvlText w:val="%8."/>
      <w:lvlJc w:val="left"/>
      <w:pPr>
        <w:tabs>
          <w:tab w:val="num" w:pos="0"/>
        </w:tabs>
        <w:ind w:left="5040" w:hanging="360"/>
      </w:pPr>
      <w:rPr/>
    </w:lvl>
    <w:lvl w:ilvl="8">
      <w:start w:val="1"/>
      <w:numFmt w:val="lowerRoman"/>
      <w:lvlText w:val="%9."/>
      <w:lvlJc w:val="right"/>
      <w:pPr>
        <w:tabs>
          <w:tab w:val="num" w:pos="0"/>
        </w:tabs>
        <w:ind w:left="576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7e5f"/>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c4e1e"/>
    <w:rPr>
      <w:b/>
      <w:bCs/>
    </w:rPr>
  </w:style>
  <w:style w:type="character" w:styleId="Style14" w:customStyle="1">
    <w:name w:val="Основной текст Знак"/>
    <w:basedOn w:val="DefaultParagraphFont"/>
    <w:qFormat/>
    <w:rsid w:val="00b27e5f"/>
    <w:rPr>
      <w:rFonts w:ascii="Times New Roman" w:hAnsi="Times New Roman" w:eastAsia="Times New Roman" w:cs="Times New Roman"/>
      <w:sz w:val="28"/>
      <w:szCs w:val="24"/>
      <w:lang w:eastAsia="ru-RU"/>
    </w:rPr>
  </w:style>
  <w:style w:type="character" w:styleId="Style15" w:customStyle="1">
    <w:name w:val="Заголовок Знак"/>
    <w:basedOn w:val="DefaultParagraphFont"/>
    <w:qFormat/>
    <w:rsid w:val="00b27e5f"/>
    <w:rPr>
      <w:rFonts w:ascii="Arial" w:hAnsi="Arial" w:eastAsia="Times New Roman" w:cs="Arial"/>
      <w:b/>
      <w:bCs/>
      <w:kern w:val="2"/>
      <w:sz w:val="32"/>
      <w:szCs w:val="32"/>
      <w:lang w:bidi="he-IL"/>
    </w:rPr>
  </w:style>
  <w:style w:type="character" w:styleId="Style16" w:customStyle="1">
    <w:name w:val="Основной текст с отступом Знак"/>
    <w:basedOn w:val="DefaultParagraphFont"/>
    <w:uiPriority w:val="99"/>
    <w:semiHidden/>
    <w:qFormat/>
    <w:rsid w:val="00c069ca"/>
    <w:rPr>
      <w:rFonts w:ascii="Times New Roman" w:hAnsi="Times New Roman" w:eastAsia="Times New Roman" w:cs="Times New Roman"/>
      <w:sz w:val="24"/>
      <w:szCs w:val="24"/>
      <w:lang w:eastAsia="ru-RU"/>
    </w:rPr>
  </w:style>
  <w:style w:type="character" w:styleId="3" w:customStyle="1">
    <w:name w:val="Основной текст с отступом 3 Знак"/>
    <w:basedOn w:val="DefaultParagraphFont"/>
    <w:uiPriority w:val="99"/>
    <w:semiHidden/>
    <w:qFormat/>
    <w:rsid w:val="00c069ca"/>
    <w:rPr>
      <w:rFonts w:ascii="Times New Roman" w:hAnsi="Times New Roman" w:eastAsia="Times New Roman" w:cs="Times New Roman"/>
      <w:sz w:val="16"/>
      <w:szCs w:val="16"/>
      <w:lang w:eastAsia="ru-RU"/>
    </w:rPr>
  </w:style>
  <w:style w:type="character" w:styleId="Style17" w:customStyle="1">
    <w:name w:val="Текст выноски Знак"/>
    <w:basedOn w:val="DefaultParagraphFont"/>
    <w:uiPriority w:val="99"/>
    <w:semiHidden/>
    <w:qFormat/>
    <w:rsid w:val="004976c4"/>
    <w:rPr>
      <w:rFonts w:ascii="Tahoma" w:hAnsi="Tahoma" w:eastAsia="Times New Roman" w:cs="Tahoma"/>
      <w:sz w:val="16"/>
      <w:szCs w:val="16"/>
      <w:lang w:eastAsia="ru-RU"/>
    </w:rPr>
  </w:style>
  <w:style w:type="character" w:styleId="2" w:customStyle="1">
    <w:name w:val="Основной текст (2)_"/>
    <w:basedOn w:val="DefaultParagraphFont"/>
    <w:link w:val="21"/>
    <w:qFormat/>
    <w:rsid w:val="0023390b"/>
    <w:rPr>
      <w:rFonts w:ascii="Times New Roman" w:hAnsi="Times New Roman" w:eastAsia="Times New Roman" w:cs="Times New Roman"/>
      <w:sz w:val="28"/>
      <w:szCs w:val="28"/>
      <w:shd w:fill="FFFFFF" w:val="clear"/>
    </w:rPr>
  </w:style>
  <w:style w:type="character" w:styleId="31" w:customStyle="1">
    <w:name w:val="Основной текст (3)_"/>
    <w:basedOn w:val="DefaultParagraphFont"/>
    <w:link w:val="32"/>
    <w:qFormat/>
    <w:rsid w:val="0023390b"/>
    <w:rPr>
      <w:rFonts w:ascii="Times New Roman" w:hAnsi="Times New Roman" w:eastAsia="Times New Roman" w:cs="Times New Roman"/>
      <w:sz w:val="28"/>
      <w:szCs w:val="28"/>
      <w:shd w:fill="FFFFFF" w:val="clear"/>
    </w:rPr>
  </w:style>
  <w:style w:type="character" w:styleId="Style18">
    <w:name w:val="Hyperlink"/>
    <w:basedOn w:val="DefaultParagraphFont"/>
    <w:uiPriority w:val="99"/>
    <w:unhideWhenUsed/>
    <w:rsid w:val="00787dd2"/>
    <w:rPr>
      <w:color w:val="0000FF" w:themeColor="hyperlink"/>
      <w:u w:val="single"/>
    </w:rPr>
  </w:style>
  <w:style w:type="character" w:styleId="Style19">
    <w:name w:val="FollowedHyperlink"/>
    <w:qFormat/>
    <w:rPr>
      <w:color w:val="800000"/>
      <w:u w:val="single"/>
    </w:rPr>
  </w:style>
  <w:style w:type="character" w:styleId="135pt" w:customStyle="1">
    <w:name w:val="Основной текст + 13;5 pt"/>
    <w:qFormat/>
    <w:rPr>
      <w:color w:val="000000"/>
      <w:spacing w:val="10"/>
      <w:w w:val="100"/>
      <w:sz w:val="27"/>
      <w:szCs w:val="27"/>
      <w:shd w:fill="FFFFFF" w:val="clear"/>
      <w:lang w:val="ru-RU"/>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rsid w:val="00b27e5f"/>
    <w:pPr>
      <w:jc w:val="both"/>
    </w:pPr>
    <w:rPr>
      <w:sz w:val="28"/>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ListParagraph">
    <w:name w:val="List Paragraph"/>
    <w:basedOn w:val="Normal"/>
    <w:uiPriority w:val="34"/>
    <w:qFormat/>
    <w:rsid w:val="006c4e1e"/>
    <w:pPr>
      <w:spacing w:lineRule="auto" w:line="276" w:before="0" w:after="0"/>
      <w:ind w:left="720" w:hanging="0"/>
      <w:contextualSpacing/>
    </w:pPr>
    <w:rPr>
      <w:rFonts w:ascii="Calibri" w:hAnsi="Calibri" w:eastAsia="Calibri" w:cs="Calibri"/>
      <w:lang w:eastAsia="ar-SA"/>
    </w:rPr>
  </w:style>
  <w:style w:type="paragraph" w:styleId="Style25">
    <w:name w:val="Title"/>
    <w:basedOn w:val="Normal"/>
    <w:qFormat/>
    <w:rsid w:val="00b27e5f"/>
    <w:pPr>
      <w:spacing w:before="240" w:after="60"/>
      <w:jc w:val="center"/>
      <w:outlineLvl w:val="0"/>
    </w:pPr>
    <w:rPr>
      <w:rFonts w:ascii="Arial" w:hAnsi="Arial" w:cs="Arial"/>
      <w:b/>
      <w:bCs/>
      <w:kern w:val="2"/>
      <w:sz w:val="32"/>
      <w:szCs w:val="32"/>
      <w:lang w:eastAsia="en-US" w:bidi="he-IL"/>
    </w:rPr>
  </w:style>
  <w:style w:type="paragraph" w:styleId="NormalWeb">
    <w:name w:val="Normal (Web)"/>
    <w:basedOn w:val="Normal"/>
    <w:qFormat/>
    <w:rsid w:val="00b27e5f"/>
    <w:pPr>
      <w:spacing w:beforeAutospacing="1" w:afterAutospacing="1"/>
    </w:pPr>
    <w:rPr>
      <w:color w:val="000000"/>
    </w:rPr>
  </w:style>
  <w:style w:type="paragraph" w:styleId="Style26">
    <w:name w:val="Body Text Indent"/>
    <w:basedOn w:val="Normal"/>
    <w:uiPriority w:val="99"/>
    <w:semiHidden/>
    <w:unhideWhenUsed/>
    <w:rsid w:val="00c069ca"/>
    <w:pPr>
      <w:spacing w:before="0" w:after="120"/>
      <w:ind w:left="283" w:hanging="0"/>
    </w:pPr>
    <w:rPr/>
  </w:style>
  <w:style w:type="paragraph" w:styleId="BodyTextIndent3">
    <w:name w:val="Body Text Indent 3"/>
    <w:basedOn w:val="Normal"/>
    <w:uiPriority w:val="99"/>
    <w:semiHidden/>
    <w:unhideWhenUsed/>
    <w:qFormat/>
    <w:rsid w:val="00c069ca"/>
    <w:pPr>
      <w:spacing w:before="0" w:after="120"/>
      <w:ind w:left="283" w:hanging="0"/>
    </w:pPr>
    <w:rPr>
      <w:sz w:val="16"/>
      <w:szCs w:val="16"/>
    </w:rPr>
  </w:style>
  <w:style w:type="paragraph" w:styleId="BalloonText">
    <w:name w:val="Balloon Text"/>
    <w:basedOn w:val="Normal"/>
    <w:uiPriority w:val="99"/>
    <w:semiHidden/>
    <w:unhideWhenUsed/>
    <w:qFormat/>
    <w:rsid w:val="004976c4"/>
    <w:pPr/>
    <w:rPr>
      <w:rFonts w:ascii="Tahoma" w:hAnsi="Tahoma" w:cs="Tahoma"/>
      <w:sz w:val="16"/>
      <w:szCs w:val="16"/>
    </w:rPr>
  </w:style>
  <w:style w:type="paragraph" w:styleId="21" w:customStyle="1">
    <w:name w:val="Основной текст (2)"/>
    <w:basedOn w:val="Normal"/>
    <w:link w:val="2"/>
    <w:qFormat/>
    <w:rsid w:val="0023390b"/>
    <w:pPr>
      <w:widowControl w:val="false"/>
      <w:shd w:val="clear" w:color="auto" w:fill="FFFFFF"/>
      <w:spacing w:before="60" w:after="780"/>
    </w:pPr>
    <w:rPr>
      <w:sz w:val="28"/>
      <w:szCs w:val="28"/>
      <w:lang w:eastAsia="en-US"/>
    </w:rPr>
  </w:style>
  <w:style w:type="paragraph" w:styleId="32" w:customStyle="1">
    <w:name w:val="Основной текст (3)"/>
    <w:basedOn w:val="Normal"/>
    <w:link w:val="31"/>
    <w:qFormat/>
    <w:rsid w:val="0023390b"/>
    <w:pPr>
      <w:widowControl w:val="false"/>
      <w:shd w:val="clear" w:color="auto" w:fill="FFFFFF"/>
      <w:spacing w:lineRule="exact" w:line="240" w:before="780" w:after="240"/>
    </w:pPr>
    <w:rPr>
      <w:b/>
      <w:bCs/>
      <w:sz w:val="28"/>
      <w:szCs w:val="28"/>
      <w:lang w:eastAsia="en-US"/>
    </w:rPr>
  </w:style>
  <w:style w:type="paragraph" w:styleId="Style27" w:customStyle="1">
    <w:name w:val="Знак Знак Знак Знак"/>
    <w:basedOn w:val="Normal"/>
    <w:qFormat/>
    <w:pPr>
      <w:spacing w:lineRule="exact" w:line="240" w:before="0" w:after="160"/>
    </w:pPr>
    <w:rPr>
      <w:rFonts w:ascii="Verdana" w:hAnsi="Verdana"/>
      <w:sz w:val="20"/>
      <w:szCs w:val="20"/>
      <w:lang w:val="en-US"/>
    </w:rPr>
  </w:style>
  <w:style w:type="paragraph" w:styleId="ConsPlusTitlePage" w:customStyle="1">
    <w:name w:val="ConsPlusTitlePage"/>
    <w:qFormat/>
    <w:pPr>
      <w:widowControl w:val="false"/>
      <w:suppressAutoHyphens w:val="true"/>
      <w:bidi w:val="0"/>
      <w:spacing w:before="0" w:after="0"/>
      <w:jc w:val="left"/>
    </w:pPr>
    <w:rPr>
      <w:rFonts w:ascii="Tahoma" w:hAnsi="Tahoma" w:eastAsia="Times New Roman" w:cs="Tahoma"/>
      <w:color w:val="auto"/>
      <w:kern w:val="0"/>
      <w:sz w:val="20"/>
      <w:szCs w:val="20"/>
      <w:lang w:eastAsia="ru-RU" w:val="ru-RU" w:bidi="ar-SA"/>
    </w:rPr>
  </w:style>
  <w:style w:type="paragraph" w:styleId="ConsPlusTitle" w:customStyle="1">
    <w:name w:val="ConsPlusTitle"/>
    <w:qFormat/>
    <w:pPr>
      <w:widowControl w:val="false"/>
      <w:suppressAutoHyphens w:val="true"/>
      <w:bidi w:val="0"/>
      <w:spacing w:before="0" w:after="0"/>
      <w:jc w:val="left"/>
    </w:pPr>
    <w:rPr>
      <w:rFonts w:ascii="Arial" w:hAnsi="Arial" w:eastAsia="Times New Roman" w:cs="Arial"/>
      <w:b/>
      <w:color w:val="auto"/>
      <w:kern w:val="0"/>
      <w:sz w:val="20"/>
      <w:szCs w:val="20"/>
      <w:lang w:eastAsia="ru-RU" w:val="ru-RU" w:bidi="ar-SA"/>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ConsPlusNormal" w:customStyle="1">
    <w:name w:val="ConsPlusNormal"/>
    <w:qFormat/>
    <w:pPr>
      <w:widowControl w:val="false"/>
      <w:suppressAutoHyphens w:val="true"/>
      <w:bidi w:val="0"/>
      <w:spacing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d05f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oleObject" Target="embeddings/oleObject1.bin"/><Relationship Id="rId6" Type="http://schemas.openxmlformats.org/officeDocument/2006/relationships/image" Target="media/image4.png"/><Relationship Id="rId7" Type="http://schemas.openxmlformats.org/officeDocument/2006/relationships/image" Target="media/image5.jpeg"/><Relationship Id="rId8" Type="http://schemas.openxmlformats.org/officeDocument/2006/relationships/image" Target="media/image5.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A89D-5359-4082-9DC1-C67F9CDF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Application>LibreOffice/7.4.3.2$Windows_X86_64 LibreOffice_project/1048a8393ae2eeec98dff31b5c133c5f1d08b890</Application>
  <AppVersion>15.0000</AppVersion>
  <Pages>15</Pages>
  <Words>2539</Words>
  <Characters>18892</Characters>
  <CharactersWithSpaces>21437</CharactersWithSpaces>
  <Paragraphs>156</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2022-12-28T12:05:00Z</dcterms:created>
  <dc:creator/>
  <dc:description/>
  <dc:language>ru-RU</dc:language>
  <cp:lastModifiedBy/>
  <cp:lastPrinted>2022-12-28T16:41:00Z</cp:lastPrinted>
  <dcterms:modified xsi:type="dcterms:W3CDTF">2022-12-29T11:02:46Z</dcterms:modified>
  <cp:revision>15</cp:revision>
  <dc:subject/>
  <dc:title>Решение Думы городского округа "Город Кизел" от 30.10.2020 N 214"О символике (гербе и флаге) городского округа "Город Кизел"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