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bookmarkStart w:id="0" w:name="Par1"/>
      <w:bookmarkEnd w:id="0"/>
      <w:r>
        <w:rPr/>
        <w:drawing>
          <wp:inline distT="0" distB="0" distL="0" distR="0">
            <wp:extent cx="514350" cy="6273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0" t="-229" r="-280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Arial" w:cs="Arial"/>
          <w:b/>
          <w:b/>
          <w:bCs/>
          <w:sz w:val="28"/>
          <w:szCs w:val="28"/>
          <w:lang w:eastAsia="ru-RU"/>
        </w:rPr>
      </w:pPr>
      <w:r>
        <w:rPr>
          <w:rFonts w:eastAsia="Arial" w:cs="Arial" w:ascii="Times New Roman" w:hAnsi="Times New Roman"/>
          <w:b/>
          <w:bCs/>
          <w:sz w:val="28"/>
          <w:szCs w:val="28"/>
          <w:lang w:eastAsia="ru-RU"/>
        </w:rPr>
        <w:t>ДУМА</w:t>
      </w:r>
    </w:p>
    <w:p>
      <w:pPr>
        <w:pStyle w:val="Normal"/>
        <w:jc w:val="center"/>
        <w:rPr>
          <w:rFonts w:ascii="Times New Roman" w:hAnsi="Times New Roman" w:eastAsia="Arial" w:cs="Arial"/>
          <w:b/>
          <w:b/>
          <w:bCs/>
          <w:sz w:val="28"/>
          <w:szCs w:val="28"/>
          <w:lang w:eastAsia="ru-RU"/>
        </w:rPr>
      </w:pPr>
      <w:r>
        <w:rPr>
          <w:rFonts w:eastAsia="Arial" w:cs="Arial" w:ascii="Times New Roman" w:hAnsi="Times New Roman"/>
          <w:b/>
          <w:bCs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rFonts w:ascii="Times New Roman" w:hAnsi="Times New Roman" w:eastAsia="Arial" w:cs="Arial"/>
          <w:b/>
          <w:b/>
          <w:bCs/>
          <w:sz w:val="28"/>
          <w:szCs w:val="28"/>
          <w:lang w:eastAsia="ru-RU"/>
        </w:rPr>
      </w:pPr>
      <w:r>
        <w:rPr>
          <w:rFonts w:eastAsia="Arial" w:cs="Arial" w:ascii="Times New Roman" w:hAnsi="Times New Roman"/>
          <w:b/>
          <w:bCs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360"/>
        <w:jc w:val="center"/>
        <w:rPr>
          <w:rFonts w:ascii="Times New Roman" w:hAnsi="Times New Roman" w:eastAsia="Arial" w:cs="Arial"/>
          <w:b/>
          <w:b/>
          <w:bCs/>
          <w:sz w:val="28"/>
          <w:szCs w:val="28"/>
          <w:lang w:eastAsia="ru-RU"/>
        </w:rPr>
      </w:pPr>
      <w:r>
        <w:rPr>
          <w:rFonts w:eastAsia="Arial" w:cs="Arial" w:ascii="Times New Roman" w:hAnsi="Times New Roman"/>
          <w:b/>
          <w:bCs/>
          <w:sz w:val="28"/>
          <w:szCs w:val="28"/>
          <w:lang w:eastAsia="ru-RU"/>
        </w:rPr>
        <w:t>ПЕРВЫЙ СОЗЫВ</w:t>
      </w:r>
    </w:p>
    <w:p>
      <w:pPr>
        <w:pStyle w:val="Normal"/>
        <w:keepNext w:val="true"/>
        <w:widowControl w:val="false"/>
        <w:spacing w:lineRule="auto" w:line="360"/>
        <w:jc w:val="center"/>
        <w:rPr>
          <w:rFonts w:ascii="Times New Roman" w:hAnsi="Times New Roman" w:eastAsia="Lucida Sans Unicode" w:cs="Tahoma"/>
          <w:b/>
          <w:b/>
          <w:color w:val="000000"/>
          <w:sz w:val="28"/>
          <w:szCs w:val="28"/>
          <w:lang w:bidi="en-US"/>
        </w:rPr>
      </w:pPr>
      <w:r>
        <w:rPr>
          <w:rFonts w:eastAsia="Lucida Sans Unicode" w:cs="Tahoma" w:ascii="Times New Roman" w:hAnsi="Times New Roman"/>
          <w:b/>
          <w:color w:val="000000"/>
          <w:sz w:val="28"/>
          <w:szCs w:val="28"/>
          <w:lang w:bidi="en-US"/>
        </w:rPr>
        <w:t>Р Е Ш Е Н И Е</w:t>
      </w:r>
    </w:p>
    <w:p>
      <w:pPr>
        <w:pStyle w:val="Normal"/>
        <w:keepNext w:val="true"/>
        <w:widowControl w:val="false"/>
        <w:spacing w:lineRule="auto" w:line="360"/>
        <w:jc w:val="both"/>
        <w:rPr>
          <w:rFonts w:ascii="Times New Roman" w:hAnsi="Times New Roman" w:eastAsia="Arial" w:cs="Arial"/>
          <w:bCs/>
          <w:sz w:val="28"/>
          <w:szCs w:val="28"/>
          <w:lang w:bidi="en-US"/>
        </w:rPr>
      </w:pPr>
      <w:r>
        <w:rPr>
          <w:rFonts w:eastAsia="Arial" w:cs="Arial" w:ascii="Times New Roman" w:hAnsi="Times New Roman"/>
          <w:bCs/>
          <w:sz w:val="28"/>
          <w:szCs w:val="28"/>
          <w:lang w:bidi="en-US"/>
        </w:rPr>
        <w:t>15.11.2022                                                                                                                 № 54</w:t>
      </w:r>
    </w:p>
    <w:p>
      <w:pPr>
        <w:pStyle w:val="Normal"/>
        <w:widowControl w:val="false"/>
        <w:ind w:right="2408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Думы Кудымкарского муниципального округа Пермского края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25.12.2008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№ 273-ФЗ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 противодействии коррупции», от 17.07.2009 </w:t>
      </w:r>
      <w:hyperlink r:id="rId4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№ 172-ФЗ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«Об антикоррупционной экспертизе нормативных правовых актов и проектов нормативных правовых актов» Дума Кудымкарского муниципального округа Пермского края</w:t>
      </w:r>
    </w:p>
    <w:p>
      <w:pPr>
        <w:pStyle w:val="Normal"/>
        <w:widowControl w:val="false"/>
        <w:spacing w:lineRule="auto" w:line="36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РЕШАЕТ: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прилагаемый Порядок проведения антикоррупционной экспертизы проектов нормативных правовых актов и нормативных правовых актов Думы Кудымкарского муниципального округа Пермского края.</w:t>
      </w:r>
    </w:p>
    <w:p>
      <w:pPr>
        <w:pStyle w:val="Normal"/>
        <w:widowControl w:val="false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Признать утратившими силу:</w:t>
      </w:r>
    </w:p>
    <w:p>
      <w:pPr>
        <w:pStyle w:val="Normal"/>
        <w:widowControl w:val="false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 Кудымкарской городской Думы от 24.04.2015 № 38 «Об утверждении Положения о порядке проведения антикоррупционной экспертизы проектов нормативных правовых актов и нормативных правовых актов Кудымкарской городской Думы»;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Думы Кудымкарского муниципального округа Пермского края от </w:t>
      </w:r>
      <w:r>
        <w:rPr>
          <w:rFonts w:cs="Times New Roman" w:ascii="Times New Roman" w:hAnsi="Times New Roman"/>
          <w:sz w:val="28"/>
          <w:szCs w:val="28"/>
        </w:rPr>
        <w:t>30.01.2020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Думы Кудымкарского муниципального округа Пермского края».</w:t>
      </w:r>
    </w:p>
    <w:p>
      <w:pPr>
        <w:pStyle w:val="Normal"/>
        <w:widowControl w:val="false"/>
        <w:ind w:firstLine="53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>Опубликовать настоящее решение в средстве массовой информации «Официальный сайт муниципального образования «Городской округ – город Кудымкар»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решения возложить на постоянную комиссию по местному самоуправлению, регламенту и депутатской этике.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Y="192" w:topFromText="0" w:vertAnchor="text"/>
        <w:tblW w:w="101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5102"/>
      </w:tblGrid>
      <w:tr>
        <w:trPr>
          <w:trHeight w:val="80" w:hRule="atLeast"/>
        </w:trPr>
        <w:tc>
          <w:tcPr>
            <w:tcW w:w="507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Н.А Стоянова</w:t>
            </w:r>
          </w:p>
        </w:tc>
      </w:tr>
    </w:tbl>
    <w:p>
      <w:pPr>
        <w:sectPr>
          <w:type w:val="nextPage"/>
          <w:pgSz w:w="11906" w:h="16838"/>
          <w:pgMar w:left="1418" w:right="567" w:gutter="0" w:header="0" w:top="363" w:footer="0" w:bottom="567"/>
          <w:pgNumType w:fmt="decimal"/>
          <w:formProt w:val="false"/>
          <w:textDirection w:val="lrTb"/>
          <w:docGrid w:type="default" w:linePitch="360" w:charSpace="12288"/>
        </w:sectPr>
      </w:pPr>
    </w:p>
    <w:p>
      <w:pPr>
        <w:pStyle w:val="Normal"/>
        <w:widowControl w:val="false"/>
        <w:numPr>
          <w:ilvl w:val="0"/>
          <w:numId w:val="0"/>
        </w:numPr>
        <w:ind w:left="4535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widowControl w:val="false"/>
        <w:numPr>
          <w:ilvl w:val="0"/>
          <w:numId w:val="0"/>
        </w:numPr>
        <w:ind w:left="4535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решением Думой Кудымкарского муниципального округа Пермского края от 15.11.2022 № 54</w:t>
      </w:r>
    </w:p>
    <w:p>
      <w:pPr>
        <w:pStyle w:val="Normal"/>
        <w:widowControl w:val="false"/>
        <w:spacing w:before="113" w:after="0"/>
        <w:jc w:val="center"/>
        <w:rPr/>
      </w:pPr>
      <w:bookmarkStart w:id="1" w:name="Par37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ПОРЯДОК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Думы Кудымкарского муниципального округа Пермского края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bookmarkStart w:id="2" w:name="Par47"/>
      <w:bookmarkEnd w:id="2"/>
      <w:r>
        <w:rPr>
          <w:rFonts w:cs="Times New Roman" w:ascii="Times New Roman" w:hAnsi="Times New Roman"/>
          <w:b/>
          <w:sz w:val="28"/>
          <w:szCs w:val="28"/>
        </w:rPr>
        <w:t>I. Общие положения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Настоящий Порядок устанавливает процедуру проведения антикоррупционной экспертизы нормативных правовых актов и проектов нормативных правовых актов Думы Кудымкарского муниципального округа Пермского края (далее – Дума Кудымкарского муниципального округа), порядок и срок подготовки заключений, составляемых при проведении антикоррупционной экспертизы.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Под антикоррупционной экспертизой нормативных правовых актов и проектов нормативных правовых актов Думы Кудымкарского муниципального округа (далее - антикоррупционная экспертиза) понимается деятельность, направленная на выявление в нормативных правовых актах или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bookmarkStart w:id="3" w:name="Par54"/>
      <w:bookmarkEnd w:id="3"/>
      <w:r>
        <w:rPr>
          <w:rFonts w:cs="Times New Roman" w:ascii="Times New Roman" w:hAnsi="Times New Roman"/>
          <w:b/>
          <w:sz w:val="28"/>
          <w:szCs w:val="28"/>
        </w:rPr>
        <w:t>II. Основные принципы и формы проведения антикоррупционной экспертизы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cs="Times New Roman" w:ascii="Times New Roman" w:hAnsi="Times New Roman"/>
          <w:sz w:val="28"/>
          <w:szCs w:val="28"/>
        </w:rPr>
        <w:t>2.1. Основными принципами организации антикоррупционной экспертизы являются: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</w:r>
      <w:r>
        <w:rPr>
          <w:rFonts w:cs="Times New Roman" w:ascii="Times New Roman" w:hAnsi="Times New Roman"/>
          <w:bCs/>
          <w:sz w:val="28"/>
          <w:szCs w:val="28"/>
        </w:rPr>
        <w:t xml:space="preserve">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и проектов нормативных правовых актов;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компетентность лиц, проводящих антикоррупционную экспертизу нормативных правовых актов и проектов нормативных правовых актов;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сотрудничество органов местного самоуправления Кудымкарского муниципального округа Пермского края,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К формам проведения антикоррупционной экспертизы относятся: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антикоррупционная экспертиза проектов нормативных правовых актов;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антикоррупционная экспертиза действующих нормативных правовых актов;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независимая антикоррупционная экспертиза нормативных правовых актов и проектов нормативных правовых актов.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>
        <w:rPr>
          <w:rFonts w:cs="Times New Roman" w:ascii="Times New Roman" w:hAnsi="Times New Roman"/>
          <w:b/>
          <w:sz w:val="28"/>
          <w:szCs w:val="28"/>
        </w:rPr>
        <w:t>III. Порядок и сроки проведения антикоррупционной экспертизы проектов и действующих нормативных правовых актов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Антикоррупционная экспертиза проводится аппаратом Думы Кудымкарского муниципального округа одновременно с проведением правовой экспертизы.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Антикоррупционная экспертиза действующих нормативных правовых актов проводится по поручению председателя Думы Кудымкарского муниципального округа.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проведения антикоррупционной экспертизы действующих нормативных правовых актов не должен превышать 10 рабочих дней.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Антикоррупционная экспертиза проектов нормативных правовых актов проводится в установленные для проведения правовой экспертизы проектов нормативных правовых актов Думы Кудымкарского муниципального округа сроки, но не должна превышать 5 рабочих дней.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Антикоррупционная экспертиза проводится в соответствии с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Методикой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Результаты антикоррупционной экспертизы отражаются в </w:t>
      </w:r>
      <w:hyperlink w:anchor="Par88" w:tgtFrame="Ссылка на текущий документ">
        <w:r>
          <w:rPr>
            <w:rFonts w:cs="Times New Roman" w:ascii="Times New Roman" w:hAnsi="Times New Roman"/>
            <w:sz w:val="28"/>
            <w:szCs w:val="28"/>
          </w:rPr>
          <w:t>заключении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 форме согласно приложению к настоящему Порядку.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В заключении должны содержаться следующие сведения: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подготовки заключения;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и наименование нормативного правового акта, проекта нормативного правового акта, прошедшего антикоррупционную экспертизу;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номер и дата принятия нормативного правового акта;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положения нормативного правового акта, проекта нормативного правового акта, в которых выявлены коррупциогенные факторы, с указанием структурных единиц проекта нормативного правового акта (раздела, главы, статьи, части, пункта, подпункта, абзаца) и соответствующие коррупциогенные факторы (в случае выявления указанных положений);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и рекомендации о способах устранения в нормативном правовом акте, проекте нормативного правового акта выявленных коррупциогенных факторов.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3.7. Заключение подписывается должностным лицом, проводившим антикоррупционную экспертизу, и направляется разработчику данного нормативного правового акта, проекта нормативного правового акта. 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Положения проекта нормативного правового акта, в которых при проведении антикоррупционной экспертизы выявлены коррупциогенные факторы, устраняются на стадии доработки проекта нормативного правового акта разработчиком проекта в течение пяти календарных дней со дня получения заключения.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 Положения действующего нормативного правового акта, в которых при проведении антикоррупционной экспертизы выявлены коррупциогенные факторы, устраняются Думой Кудымкарского муниципального округа путем внесения соответствующих изменений в нормативный правовой акт в срок, не превышающий 30 рабочих дней.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 Не проводится антикоррупционная экспертиза нормативных правовых актов, отмененных или признанных утратившими силу.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567"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bookmarkStart w:id="6" w:name="Par95"/>
      <w:bookmarkEnd w:id="6"/>
      <w:r>
        <w:rPr>
          <w:rFonts w:cs="Times New Roman" w:ascii="Times New Roman" w:hAnsi="Times New Roman"/>
          <w:b/>
          <w:sz w:val="28"/>
          <w:szCs w:val="28"/>
        </w:rPr>
        <w:t>IV. Порядок рассмотрения заключений независимой антикоррупционной экспертизы нормативных правовых актов и проектов нормативных правовых актов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Независимая антикоррупционная экспертиза нормативных правовых актов (проектов нормативных правовых актов) проводится институтами гражданского общества и гражданами Российской Федерации, аккредитованными на проведение независимой антикоррупционной экспертизы в порядке, установленном действующим законодательством, за счет собственных средств.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по результатам независимой антикоррупционной экспертизы подлежит обязательному рассмотрению Земским Собранием в тридцатидневный срок со дня его получения.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гражданами, имеющими неснятую или непогашенную судимость;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пункте 3 части 1 статьи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 172-ФЗ;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международными и иностранными организациями;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В случае несогласия Думы Кудымкарского муниципального округа с результатами независимой экспертизы, свидетельствующими о наличии в нормативном правовом акте и (или) проекте нормативного правового акта положений, способствующих созданию условий для проявления коррупции, составляется мотивированное обоснование выраженного несогласия, которое вместе с заключением независимой антикоррупционной экспертизы направляется в рабочую группу.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bookmarkStart w:id="7" w:name="Par106"/>
      <w:bookmarkEnd w:id="7"/>
      <w:r>
        <w:rPr>
          <w:rFonts w:cs="Times New Roman" w:ascii="Times New Roman" w:hAnsi="Times New Roman"/>
          <w:b/>
          <w:sz w:val="28"/>
          <w:szCs w:val="28"/>
        </w:rPr>
        <w:t>V. Заключительные положения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В случаях, предусмотренных действующим законодательством, антикоррупционная экспертиза осуществляется прокуратурой, органами юстиции и иными государственными органами исполнительной власти Российской Федерации и государственными органами Пермского края.</w:t>
      </w:r>
    </w:p>
    <w:p>
      <w:pPr>
        <w:sectPr>
          <w:headerReference w:type="default" r:id="rId9"/>
          <w:type w:val="nextPage"/>
          <w:pgSz w:w="11906" w:h="16838"/>
          <w:pgMar w:left="1418" w:right="567" w:gutter="0" w:header="340" w:top="1134" w:footer="0" w:bottom="1134"/>
          <w:pgNumType w:fmt="decimal"/>
          <w:formProt w:val="false"/>
          <w:textDirection w:val="lrTb"/>
          <w:docGrid w:type="default" w:linePitch="360" w:charSpace="12288"/>
        </w:sect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Требование прокурора об изменении нормативного правового акта, внесенное им в соответствии с Федеральным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17.01.1992 № 2202-1 «О прокуратуре Российской Федерации» и </w:t>
      </w:r>
      <w:r>
        <w:rPr>
          <w:rFonts w:cs="Times New Roman" w:ascii="Times New Roman" w:hAnsi="Times New Roman"/>
          <w:bCs/>
          <w:sz w:val="28"/>
          <w:szCs w:val="28"/>
        </w:rPr>
        <w:t xml:space="preserve">Федеральным </w:t>
      </w:r>
      <w:hyperlink r:id="rId8">
        <w:r>
          <w:rPr>
            <w:rFonts w:cs="Times New Roman"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от 17.07. 2009 № 172-ФЗ «Об антикоррупционной экспертизе нормативных правовых актов и проектов нормативных правовых актов»</w:t>
      </w:r>
      <w:r>
        <w:rPr>
          <w:rFonts w:cs="Times New Roman" w:ascii="Times New Roman" w:hAnsi="Times New Roman"/>
          <w:sz w:val="28"/>
          <w:szCs w:val="28"/>
        </w:rPr>
        <w:t>, рассматривается в установленном порядке.</w:t>
      </w:r>
    </w:p>
    <w:tbl>
      <w:tblPr>
        <w:tblStyle w:val="af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7"/>
        <w:gridCol w:w="5779"/>
      </w:tblGrid>
      <w:tr>
        <w:trPr/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Приложение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 Порядку проведения антикоррупционной экспертизы нормативных правовых актов и проектов нормативных правовых актов Думы Кудымкарского муниципального округа Пермского края</w:t>
            </w:r>
          </w:p>
        </w:tc>
      </w:tr>
    </w:tbl>
    <w:p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проведения антикоррупционной экспертизы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(вид и наименование нормативного правового акта Думы Кудымкарского муниципального округа (проекта нормативного правового акта Думы Кудымкарского муниципального округа), регистрационный номер и дата принятия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нормативного правового акта)</w:t>
      </w:r>
    </w:p>
    <w:p>
      <w:pPr>
        <w:pStyle w:val="ConsPlusNonformat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                                                                                № ________</w:t>
      </w:r>
    </w:p>
    <w:p>
      <w:pPr>
        <w:pStyle w:val="ConsPlusNonformat"/>
        <w:spacing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(дата)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Методикой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проведена антикоррупционная экспертиза 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вид и наименование нормативного правового акта Думы Кудымкарского муниципального округа (проекта нормативного правового акта Думы Кудымкарского муниципального округа), регистрационный номер и дата принятия нормативного правового акта)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выявления в нем коррупциогенных факторов и их последующего устранения.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Вариант 1:</w:t>
      </w:r>
    </w:p>
    <w:p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представленном 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(вид и наименование нормативного правового акта Думы Кудымкарского муниципального округа (проекта нормативного правового акта Думы Кудымкарского муниципального округа), регистрационный номер и дата принятия нормативного правового акта)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коррупциогенные факторы не выявлены.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Вариант 2:</w:t>
      </w:r>
    </w:p>
    <w:p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представленном 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(вид и наименование нормативного правового акта Думы Кудымкарского муниципального округа (проекта нормативного правового акта Думы Кудымкарского муниципального округа), регистрационный номер и дата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принятия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выявлены положения, способствующие созданию условий для проявления коррупции.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923" w:type="dxa"/>
        <w:jc w:val="left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firstRow="0" w:noVBand="0" w:lastRow="0" w:firstColumn="0" w:lastColumn="0" w:noHBand="0" w:val="0000"/>
      </w:tblPr>
      <w:tblGrid>
        <w:gridCol w:w="421"/>
        <w:gridCol w:w="2218"/>
        <w:gridCol w:w="3597"/>
        <w:gridCol w:w="3686"/>
      </w:tblGrid>
      <w:tr>
        <w:trPr>
          <w:trHeight w:val="1600" w:hRule="atLeast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№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Коррупциогенный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фактор </w:t>
            </w:r>
            <w:hyperlink w:anchor="Par70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Положения нормативного правового акта Думы Кудымкарского муниципального округа (проекта нормативного правового акта Думы Кудымкарского муниципального округа), в которых выявлены коррупциогенные факторы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 и рекомендации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способах устранения в нормативном правовом акте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Думы Кудымкарского муниципального округа (проекте нормативного правового акта Думы Кудымкарского муниципального округа) выявленных коррупциогенных факторов</w:t>
            </w:r>
          </w:p>
        </w:tc>
      </w:tr>
      <w:tr>
        <w:trPr/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3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36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Должностное лицо, которое провело антикоррупционную экспертизу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                  ______________________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                (инициалы, фамилия)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Normal"/>
        <w:ind w:firstLine="540"/>
        <w:jc w:val="both"/>
        <w:rPr/>
      </w:pPr>
      <w:bookmarkStart w:id="8" w:name="Par70"/>
      <w:bookmarkEnd w:id="8"/>
      <w:r>
        <w:rPr>
          <w:rFonts w:cs="Times New Roman" w:ascii="Times New Roman" w:hAnsi="Times New Roman"/>
          <w:sz w:val="24"/>
          <w:szCs w:val="24"/>
        </w:rPr>
        <w:t>&lt;1&gt; Коррупциогенные факторы указываются в соответ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ствии с </w:t>
      </w:r>
      <w:hyperlink r:id="rId12">
        <w:r>
          <w:rPr>
            <w:rFonts w:cs="Times New Roman" w:ascii="Times New Roman" w:hAnsi="Times New Roman"/>
            <w:color w:val="000000"/>
            <w:sz w:val="24"/>
            <w:szCs w:val="24"/>
          </w:rPr>
          <w:t>Методикой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пр</w:t>
      </w:r>
      <w:r>
        <w:rPr>
          <w:rFonts w:cs="Times New Roman" w:ascii="Times New Roman" w:hAnsi="Times New Roman"/>
          <w:sz w:val="24"/>
          <w:szCs w:val="24"/>
        </w:rPr>
        <w:t>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sectPr>
      <w:headerReference w:type="default" r:id="rId13"/>
      <w:type w:val="nextPage"/>
      <w:pgSz w:w="11906" w:h="16838"/>
      <w:pgMar w:left="1259" w:right="567" w:gutter="0" w:header="340" w:top="1134" w:footer="0" w:bottom="56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22487429"/>
    </w:sdtPr>
    <w:sdtContent>
      <w:p>
        <w:pPr>
          <w:pStyle w:val="Style2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5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66035910"/>
    </w:sdtPr>
    <w:sdtContent>
      <w:p>
        <w:pPr>
          <w:pStyle w:val="Style2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7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599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uiPriority w:val="9"/>
    <w:qFormat/>
    <w:rsid w:val="00fb599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fb599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e63772"/>
    <w:rPr>
      <w:rFonts w:ascii="Tahoma" w:hAnsi="Tahoma" w:cs="Tahoma"/>
      <w:sz w:val="16"/>
      <w:szCs w:val="16"/>
    </w:rPr>
  </w:style>
  <w:style w:type="character" w:styleId="Style14">
    <w:name w:val="Hyperlink"/>
    <w:rPr>
      <w:color w:val="000080"/>
      <w:u w:val="single"/>
    </w:rPr>
  </w:style>
  <w:style w:type="character" w:styleId="Style15">
    <w:name w:val="FollowedHyperlink"/>
    <w:rPr>
      <w:color w:val="800000"/>
      <w:u w:val="single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227613"/>
    <w:rPr/>
  </w:style>
  <w:style w:type="character" w:styleId="Style17" w:customStyle="1">
    <w:name w:val="Нижний колонтитул Знак"/>
    <w:basedOn w:val="DefaultParagraphFont"/>
    <w:uiPriority w:val="99"/>
    <w:qFormat/>
    <w:rsid w:val="00227613"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b599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b599c"/>
    <w:pPr>
      <w:spacing w:before="0" w:after="0"/>
      <w:ind w:left="720" w:hanging="0"/>
      <w:contextualSpacing/>
    </w:pPr>
    <w:rPr/>
  </w:style>
  <w:style w:type="paragraph" w:styleId="Style23" w:customStyle="1">
    <w:name w:val="Знак Знак Знак Знак"/>
    <w:basedOn w:val="Normal"/>
    <w:qFormat/>
    <w:rsid w:val="00e63772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uiPriority w:val="99"/>
    <w:semiHidden/>
    <w:unhideWhenUsed/>
    <w:qFormat/>
    <w:rsid w:val="00e63772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92a5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4e0b91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unhideWhenUsed/>
    <w:rsid w:val="002276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7"/>
    <w:uiPriority w:val="99"/>
    <w:unhideWhenUsed/>
    <w:rsid w:val="0022761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637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7E11A21FFC60ED138093FAAA8968241D6312CFC147956649FBE7BF8A4E006D9611BC173F07B691ED4850C3EC89CB3E12282463BAE0A1ABABMBs3M" TargetMode="External"/><Relationship Id="rId4" Type="http://schemas.openxmlformats.org/officeDocument/2006/relationships/hyperlink" Target="consultantplus://offline/ref=7E11A21FFC60ED138093FAAA8968241D6316C7CA41966649FBE7BF8A4E006D9611BC173F07B691EA4A50C3EC89CB3E12282463BAE0A1ABABMBs3M" TargetMode="External"/><Relationship Id="rId5" Type="http://schemas.openxmlformats.org/officeDocument/2006/relationships/hyperlink" Target="consultantplus://offline/ref=A6E493B287C329152A816E39B04C62DE3426872BF222F6458F5B1E24FCDDE410940D657DAB057CFAb215K" TargetMode="External"/><Relationship Id="rId6" Type="http://schemas.openxmlformats.org/officeDocument/2006/relationships/hyperlink" Target="consultantplus://offline/ref=19AA9D9319E22DBC76AF1F99DA22DAE48AFCB0FF80CD43D7C6C00EDCB6C378177D9CB1B1D687E9D4FD9BCA1A811E4797227FD17C11768D7D0DiCL" TargetMode="External"/><Relationship Id="rId7" Type="http://schemas.openxmlformats.org/officeDocument/2006/relationships/hyperlink" Target="consultantplus://offline/ref=A6E493B287C329152A816E39B04C62DE34248127FC22F6458F5B1E24FCbD1DK" TargetMode="External"/><Relationship Id="rId8" Type="http://schemas.openxmlformats.org/officeDocument/2006/relationships/hyperlink" Target="consultantplus://offline/ref=2A6458D70F999C95C79B751539B3939FEE5CADB2B0D60E93FD70D7E3AE43EE274C01B048A27CFEA3w0xAF" TargetMode="External"/><Relationship Id="rId9" Type="http://schemas.openxmlformats.org/officeDocument/2006/relationships/header" Target="header1.xml"/><Relationship Id="rId10" Type="http://schemas.openxmlformats.org/officeDocument/2006/relationships/hyperlink" Target="consultantplus://offline/ref=2020FDE96C99921BF9A2A79C2FE4ADB1618F584236A707910214835C74k8d3H" TargetMode="External"/><Relationship Id="rId11" Type="http://schemas.openxmlformats.org/officeDocument/2006/relationships/hyperlink" Target="consultantplus://offline/ref=2020FDE96C99921BF9A2A79C2FE4ADB1618F5F4F37A507910214835C74837255670BA7D19E10F6D9k7dEH" TargetMode="External"/><Relationship Id="rId12" Type="http://schemas.openxmlformats.org/officeDocument/2006/relationships/hyperlink" Target="consultantplus://offline/ref=6740E30AED63A098498AE0CEFC949A22ABA3041A47E806F365230AA885AFCCF7C037296D96DF5082rDV7J" TargetMode="Externa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LibreOffice/7.4.3.2$Windows_X86_64 LibreOffice_project/1048a8393ae2eeec98dff31b5c133c5f1d08b890</Application>
  <AppVersion>15.0000</AppVersion>
  <Pages>7</Pages>
  <Words>1485</Words>
  <Characters>12173</Characters>
  <CharactersWithSpaces>13954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2022-11-15T06:51:00Z</dcterms:created>
  <dc:creator>1</dc:creator>
  <dc:description/>
  <dc:language>ru-RU</dc:language>
  <cp:lastModifiedBy/>
  <cp:lastPrinted>2022-11-30T12:34:27Z</cp:lastPrinted>
  <dcterms:modified xsi:type="dcterms:W3CDTF">2022-11-30T12:34:48Z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