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jc w:val="center"/>
        <w:rPr>
          <w:rFonts w:eastAsia="Arial" w:cs="Arial"/>
          <w:b/>
          <w:b/>
          <w:bCs/>
          <w:szCs w:val="28"/>
        </w:rPr>
      </w:pPr>
      <w:r>
        <w:rPr/>
        <w:drawing>
          <wp:inline distT="0" distB="0" distL="0" distR="0">
            <wp:extent cx="514350" cy="647700"/>
            <wp:effectExtent l="0" t="0" r="0" b="0"/>
            <wp:docPr id="1" name="Рисунок 2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jc w:val="center"/>
        <w:rPr>
          <w:rFonts w:eastAsia="Arial" w:cs="Arial"/>
          <w:b/>
          <w:b/>
          <w:bCs/>
          <w:szCs w:val="28"/>
        </w:rPr>
      </w:pPr>
      <w:r>
        <w:rPr>
          <w:rFonts w:eastAsia="Arial" w:cs="Arial"/>
          <w:b/>
          <w:bCs/>
          <w:szCs w:val="28"/>
        </w:rPr>
        <w:t>ДУМА</w:t>
      </w:r>
    </w:p>
    <w:p>
      <w:pPr>
        <w:pStyle w:val="Normal"/>
        <w:widowControl w:val="false"/>
        <w:jc w:val="center"/>
        <w:rPr>
          <w:rFonts w:eastAsia="Arial" w:cs="Arial"/>
          <w:b/>
          <w:b/>
          <w:bCs/>
          <w:szCs w:val="28"/>
        </w:rPr>
      </w:pPr>
      <w:r>
        <w:rPr>
          <w:rFonts w:eastAsia="Arial" w:cs="Arial"/>
          <w:b/>
          <w:bCs/>
          <w:szCs w:val="28"/>
        </w:rPr>
        <w:t>КУДЫМКАРСКОГО МУНИЦИПАЛЬНОГО ОКРУГА</w:t>
      </w:r>
    </w:p>
    <w:p>
      <w:pPr>
        <w:pStyle w:val="Normal"/>
        <w:widowControl w:val="false"/>
        <w:spacing w:lineRule="auto" w:line="360"/>
        <w:jc w:val="center"/>
        <w:rPr>
          <w:rFonts w:eastAsia="Arial" w:cs="Arial"/>
          <w:b/>
          <w:b/>
          <w:bCs/>
          <w:szCs w:val="28"/>
        </w:rPr>
      </w:pPr>
      <w:r>
        <w:rPr>
          <w:rFonts w:eastAsia="Arial" w:cs="Arial"/>
          <w:b/>
          <w:bCs/>
          <w:szCs w:val="28"/>
        </w:rPr>
        <w:t>ПЕРМСКОГО КРАЯ</w:t>
      </w:r>
    </w:p>
    <w:p>
      <w:pPr>
        <w:pStyle w:val="Normal"/>
        <w:widowControl w:val="false"/>
        <w:spacing w:lineRule="auto" w:line="360"/>
        <w:jc w:val="center"/>
        <w:rPr>
          <w:rFonts w:eastAsia="Arial"/>
          <w:b/>
          <w:b/>
          <w:bCs/>
          <w:szCs w:val="28"/>
        </w:rPr>
      </w:pPr>
      <w:r>
        <w:rPr>
          <w:rFonts w:eastAsia="Arial"/>
          <w:b/>
          <w:bCs/>
          <w:szCs w:val="28"/>
        </w:rPr>
        <w:t>Р Е Ш Е Н И Е</w:t>
      </w:r>
    </w:p>
    <w:p>
      <w:pPr>
        <w:pStyle w:val="Normal"/>
        <w:widowControl w:val="false"/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07.09.2022</w:t>
        <w:tab/>
        <w:tab/>
        <w:tab/>
        <w:tab/>
        <w:tab/>
        <w:tab/>
        <w:tab/>
        <w:tab/>
        <w:tab/>
        <w:tab/>
        <w:tab/>
        <w:tab/>
        <w:t>№ 99</w:t>
      </w:r>
    </w:p>
    <w:p>
      <w:pPr>
        <w:pStyle w:val="Normal"/>
        <w:spacing w:before="113" w:after="113"/>
        <w:ind w:right="624" w:hanging="0"/>
        <w:jc w:val="both"/>
        <w:rPr>
          <w:b/>
          <w:b/>
          <w:szCs w:val="28"/>
        </w:rPr>
      </w:pPr>
      <w:r>
        <w:rPr>
          <w:b/>
          <w:szCs w:val="28"/>
        </w:rPr>
        <w:t>О внесении изменений в решение Думы Кудымкарского муниципального округа Пермского края от 08.12.2021 года № 165 «О бюджете Кудымкарского муниципального округа Пермского края на 2022 год и на плановый период 2023 и 2024 годов»</w:t>
      </w:r>
    </w:p>
    <w:p>
      <w:pPr>
        <w:pStyle w:val="NoSpacing"/>
        <w:spacing w:lineRule="auto" w:line="240"/>
        <w:ind w:firstLine="567"/>
        <w:jc w:val="both"/>
        <w:rPr/>
      </w:pPr>
      <w:r>
        <w:rPr>
          <w:szCs w:val="28"/>
        </w:rPr>
        <w:t>Статья 1.</w:t>
      </w:r>
    </w:p>
    <w:p>
      <w:pPr>
        <w:pStyle w:val="NoSpacing"/>
        <w:spacing w:lineRule="auto" w:line="240"/>
        <w:ind w:firstLine="567"/>
        <w:jc w:val="both"/>
        <w:rPr/>
      </w:pPr>
      <w:r>
        <w:rPr>
          <w:szCs w:val="28"/>
        </w:rPr>
        <w:t>Внести в решение Думы Кудымкарского муниципального округа Пермского края от 08.12.2021 года № 165 «О бюджете Кудымкарского муниципального округа Пермского края на 2022 год и на плановый период 2023 и 2024 годов» (газета «Иньвенский край» от 09.12.2021 № 49 (992), от 03.02.2022 № 5 (1000), от 03.03.2022 № 9 (1001), от 31.03.2022 № 13(1008), от 02.06.2022 № 22 (1017), от 04.08.2022 № 1026) следующие изменения:</w:t>
      </w:r>
    </w:p>
    <w:p>
      <w:pPr>
        <w:pStyle w:val="NoSpacing"/>
        <w:spacing w:lineRule="auto" w:line="240"/>
        <w:ind w:firstLine="567"/>
        <w:jc w:val="both"/>
        <w:rPr/>
      </w:pPr>
      <w:r>
        <w:rPr>
          <w:szCs w:val="28"/>
        </w:rPr>
        <w:t>1. Часть 1 статьи 1 изложить в редакции:</w:t>
      </w:r>
    </w:p>
    <w:p>
      <w:pPr>
        <w:pStyle w:val="NoSpacing"/>
        <w:spacing w:lineRule="auto" w:line="240"/>
        <w:ind w:firstLine="567"/>
        <w:jc w:val="both"/>
        <w:rPr/>
      </w:pPr>
      <w:r>
        <w:rPr>
          <w:szCs w:val="28"/>
        </w:rPr>
        <w:t>«</w:t>
      </w:r>
      <w:r>
        <w:rPr>
          <w:szCs w:val="28"/>
          <w:shd w:fill="FFFFFF" w:val="clear"/>
        </w:rPr>
        <w:t>1. Утвердить основные характеристики бюджета Кудымкарского муниципального округа Пермского края (далее по тексту - бюджет Кудымкарского муниципального округа) на 2022 год:</w:t>
      </w:r>
    </w:p>
    <w:p>
      <w:pPr>
        <w:pStyle w:val="Normal"/>
        <w:spacing w:lineRule="auto" w:line="240"/>
        <w:jc w:val="both"/>
        <w:rPr/>
      </w:pPr>
      <w:r>
        <w:rPr>
          <w:szCs w:val="28"/>
          <w:shd w:fill="FFFFFF" w:val="clear"/>
        </w:rPr>
        <w:tab/>
        <w:t>1) прогнозируемый общий объем доходов бюджета Кудымкарского муниципального округа в</w:t>
      </w:r>
      <w:r>
        <w:rPr>
          <w:b w:val="false"/>
          <w:bCs w:val="false"/>
          <w:szCs w:val="28"/>
          <w:shd w:fill="FFFFFF" w:val="clear"/>
        </w:rPr>
        <w:t xml:space="preserve"> сумме </w:t>
      </w:r>
      <w:r>
        <w:rPr>
          <w:b w:val="false"/>
          <w:bCs w:val="false"/>
          <w:szCs w:val="28"/>
        </w:rPr>
        <w:t xml:space="preserve">1 378 987,51660 </w:t>
      </w:r>
      <w:r>
        <w:rPr>
          <w:b w:val="false"/>
          <w:bCs w:val="false"/>
          <w:szCs w:val="28"/>
          <w:shd w:fill="FFFFFF" w:val="clear"/>
        </w:rPr>
        <w:t>тыс. руб.;</w:t>
      </w:r>
    </w:p>
    <w:p>
      <w:pPr>
        <w:pStyle w:val="NoSpacing"/>
        <w:spacing w:lineRule="auto" w:line="240"/>
        <w:ind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  <w:shd w:fill="FFFFFF" w:val="clear"/>
        </w:rPr>
        <w:tab/>
        <w:t xml:space="preserve">2)  общий объем расходов бюджета Кудымкарского муниципального округа </w:t>
      </w:r>
    </w:p>
    <w:p>
      <w:pPr>
        <w:pStyle w:val="Normal"/>
        <w:suppressAutoHyphens w:val="false"/>
        <w:spacing w:lineRule="auto" w:line="24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 xml:space="preserve">1 419 057,75096 </w:t>
      </w:r>
      <w:r>
        <w:rPr>
          <w:b w:val="false"/>
          <w:bCs w:val="false"/>
          <w:szCs w:val="28"/>
          <w:shd w:fill="FFFFFF" w:val="clear"/>
        </w:rPr>
        <w:t>тыс. руб.;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  <w:shd w:fill="FFFFFF" w:val="clear"/>
        </w:rPr>
        <w:tab/>
        <w:t xml:space="preserve">3) дефицит бюджета Кудымкарского муниципального округа в сумме </w:t>
      </w:r>
      <w:r>
        <w:rPr>
          <w:b w:val="false"/>
          <w:bCs w:val="false"/>
          <w:szCs w:val="28"/>
        </w:rPr>
        <w:t>40 070,23436 тыс.</w:t>
      </w:r>
      <w:r>
        <w:rPr>
          <w:b w:val="false"/>
          <w:bCs w:val="false"/>
          <w:szCs w:val="28"/>
          <w:shd w:fill="FFFFFF" w:val="clear"/>
        </w:rPr>
        <w:t xml:space="preserve"> руб., установленный в соответствии с требованиями статьи 92.1. Бюджетного кодекса Российской Федерации и Положения о бюджетном процессе в Кудымкарском муниципальном округе Пермского края.</w:t>
      </w:r>
      <w:r>
        <w:rPr>
          <w:b w:val="false"/>
          <w:bCs w:val="false"/>
          <w:szCs w:val="28"/>
        </w:rPr>
        <w:t>».</w:t>
      </w:r>
    </w:p>
    <w:p>
      <w:pPr>
        <w:pStyle w:val="NoSpacing"/>
        <w:spacing w:lineRule="auto" w:line="240"/>
        <w:ind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>2. Статью 2 изложить в редакции: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>«Утвердить объем межбюджетных трансфертов, получаемых из бюджета Пермского края на 2022 год в сумме 1 255 058,16396 тыс. рублей, на 2023 год в сумме 1 063 150,02802 тыс. рублей, на 2024 год в сумме 1 254 830,60279 тыс. рублей.».</w:t>
      </w:r>
    </w:p>
    <w:p>
      <w:pPr>
        <w:pStyle w:val="NoSpacing"/>
        <w:spacing w:lineRule="auto" w:line="240"/>
        <w:ind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>3. В статье 4:</w:t>
      </w:r>
    </w:p>
    <w:p>
      <w:pPr>
        <w:pStyle w:val="Normal"/>
        <w:spacing w:lineRule="auto" w:line="240"/>
        <w:ind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>3.1. Абзацы 1 и 2 части 7 изложить в следующей редакции: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>«Утвердить объем бюджетных ассигнований дорожного фонда Кудымкарского муниципального округа на 2022 год в сумме 158720,03234 тыс. руб., на 2023 год в сумме 93 560,41040 тыс. руб., на 2024 год в сумме 96 684,18840 тыс. руб.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>Утвердить объем дотаций на выравнивание бюджетной обеспеченности направляемых на увеличение бюджетных ассигнований дорожного фонда Кудымкарского муниципального округа на 2022 год в сумме 20 172,32637 тыс. руб., на 2023 год в сумме 7 009,30040 тыс. руб., на 2024 год в сумме 7 003,49840 тыс. руб.»;</w:t>
      </w:r>
    </w:p>
    <w:p>
      <w:pPr>
        <w:pStyle w:val="Normal"/>
        <w:spacing w:lineRule="auto" w:line="240"/>
        <w:ind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>3.2. Абзацы 1 и 2 части 8 изложить в следующей редакции:</w:t>
      </w:r>
    </w:p>
    <w:p>
      <w:pPr>
        <w:pStyle w:val="Normal"/>
        <w:spacing w:lineRule="auto" w:line="240"/>
        <w:ind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>«Утвердить общий объем бюджетных ассигнований на осуществление бюджетных инвестиций в форме капитальных вложений и предоставление бюджетным и автономным учреждениям субсидий на осуществление капитальных вложений в объекты муниципальной собственности Кудымкарского муниципального округа на 2022 год в сумме 197 257,71214 тыс. руб., на 2023 год в сумме 91 027,38311 тыс. руб., на 2024 год в сумме 280 513,88764 тыс. руб., в том числе:</w:t>
      </w:r>
    </w:p>
    <w:p>
      <w:pPr>
        <w:pStyle w:val="Normal"/>
        <w:spacing w:lineRule="auto" w:line="240"/>
        <w:ind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>общий объем бюджетных ассигнований на осуществление бюджетных инвестиций в форме капитальных вложений в объекты муниципальной собственности Кудымкарского муниципального округа на 2022 год в сумме           185 385,33514 тыс. руб., на 2023 год в сумме 78 778,83911 тыс. руб., на 2024 год в сумме 268 265,34364 тыс. руб.»;</w:t>
      </w:r>
    </w:p>
    <w:p>
      <w:pPr>
        <w:pStyle w:val="NoSpacing"/>
        <w:spacing w:lineRule="auto" w:line="240"/>
        <w:ind w:firstLine="567"/>
        <w:jc w:val="both"/>
        <w:rPr/>
      </w:pPr>
      <w:r>
        <w:rPr>
          <w:b w:val="false"/>
          <w:bCs w:val="false"/>
          <w:szCs w:val="28"/>
        </w:rPr>
        <w:t>3.3. часть 9 изложить в следующей редакции:</w:t>
      </w:r>
    </w:p>
    <w:p>
      <w:pPr>
        <w:pStyle w:val="NoSpacing"/>
        <w:spacing w:lineRule="auto" w:line="240"/>
        <w:ind w:firstLine="567"/>
        <w:jc w:val="both"/>
        <w:rPr/>
      </w:pPr>
      <w:r>
        <w:rPr>
          <w:b w:val="false"/>
          <w:bCs w:val="false"/>
          <w:szCs w:val="28"/>
        </w:rPr>
        <w:t>«Утвердить общий объем бюджетных ассигнований и перечень муниципальных программ и непрограммных направлений деятельности Кудымкарского муниципального округа, предусмотренных на условиях софинансирования на 2022 год в сумме 342089,26916 тыс. руб., на 2023 год в сумме 175 144,83173 тыс. руб., на 2024 год в сумме 340 885,88564 тыс. руб.».</w:t>
      </w:r>
    </w:p>
    <w:p>
      <w:pPr>
        <w:pStyle w:val="Normal"/>
        <w:suppressAutoHyphens w:val="false"/>
        <w:spacing w:lineRule="auto" w:line="240"/>
        <w:ind w:firstLine="54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 xml:space="preserve">4. </w:t>
      </w:r>
      <w:r>
        <w:rPr>
          <w:rFonts w:eastAsia="Calibri" w:eastAsiaTheme="minorHAnsi"/>
          <w:b w:val="false"/>
          <w:bCs w:val="false"/>
          <w:szCs w:val="28"/>
          <w:lang w:eastAsia="en-US"/>
        </w:rPr>
        <w:t>Дополнить статей 4.1 следующего содержания: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240"/>
        <w:ind w:left="0" w:firstLine="540"/>
        <w:jc w:val="both"/>
        <w:outlineLvl w:val="0"/>
        <w:rPr>
          <w:b w:val="false"/>
          <w:b w:val="false"/>
          <w:bCs w:val="false"/>
        </w:rPr>
      </w:pPr>
      <w:r>
        <w:rPr>
          <w:rFonts w:eastAsia="Calibri" w:eastAsiaTheme="minorHAnsi"/>
          <w:b w:val="false"/>
          <w:bCs w:val="false"/>
          <w:szCs w:val="28"/>
          <w:lang w:eastAsia="en-US"/>
        </w:rPr>
        <w:t>«Статья 4.1. Порядок повышения оплаты труда работников муниципальных учреждений, финансируемых из местного бюджета, индексации денежного содержания муниципальных служащих</w:t>
      </w:r>
    </w:p>
    <w:p>
      <w:pPr>
        <w:pStyle w:val="Normal"/>
        <w:suppressAutoHyphens w:val="false"/>
        <w:spacing w:lineRule="auto" w:line="240"/>
        <w:ind w:firstLine="540"/>
        <w:jc w:val="both"/>
        <w:rPr>
          <w:b w:val="false"/>
          <w:b w:val="false"/>
          <w:bCs w:val="false"/>
        </w:rPr>
      </w:pPr>
      <w:r>
        <w:rPr>
          <w:rFonts w:eastAsia="Calibri" w:eastAsiaTheme="minorHAnsi"/>
          <w:b w:val="false"/>
          <w:bCs w:val="false"/>
          <w:szCs w:val="28"/>
          <w:lang w:eastAsia="en-US"/>
        </w:rPr>
        <w:t>1. Увеличить с 1 апреля 2022 года на 4%, с 1 июля 2022 года на 6% фонд оплаты труда работников муниципальных казенных учреждений и затраты по оплате труда, входящие в норматив затрат на оказание муниципальных услуг (выполнение работ), предоставляемых муниципальным бюджетными и автономными учреждениями,  финансируемых из местного бюджета, за исключением работников муниципальных учреждений, для которых установлены иные размеры увеличения фонда оплаты труда.</w:t>
      </w:r>
    </w:p>
    <w:p>
      <w:pPr>
        <w:pStyle w:val="Normal"/>
        <w:suppressAutoHyphens w:val="false"/>
        <w:spacing w:lineRule="auto" w:line="240" w:before="200" w:after="0"/>
        <w:ind w:firstLine="540"/>
        <w:jc w:val="both"/>
        <w:rPr>
          <w:b w:val="false"/>
          <w:b w:val="false"/>
          <w:bCs w:val="false"/>
        </w:rPr>
      </w:pPr>
      <w:r>
        <w:rPr>
          <w:rFonts w:eastAsia="Calibri" w:eastAsiaTheme="minorHAnsi"/>
          <w:b w:val="false"/>
          <w:bCs w:val="false"/>
          <w:szCs w:val="28"/>
          <w:lang w:eastAsia="en-US"/>
        </w:rPr>
        <w:t xml:space="preserve">2. Увеличить (проиндексировать) с 1 апреля 2022 года на 4%, с 1 июля 2022 года на 6% размеры окладов денежного содержания лиц, замещающих муниципальные должности, муниципальных служащих Кудымкарского муниципального округа Пермского края, работников, замещающих должности, не являющиеся должностями муниципальной службы Кудымкарского муниципального округа Пермского края.». </w:t>
      </w:r>
    </w:p>
    <w:p>
      <w:pPr>
        <w:pStyle w:val="NoSpacing"/>
        <w:spacing w:lineRule="auto" w:line="240"/>
        <w:ind w:firstLine="567"/>
        <w:jc w:val="both"/>
        <w:rPr/>
      </w:pPr>
      <w:r>
        <w:rPr>
          <w:b w:val="false"/>
          <w:bCs w:val="false"/>
          <w:szCs w:val="28"/>
        </w:rPr>
        <w:t>5. Отдельные строки в приложениях 1, 2, 3, 4, 5, 6</w:t>
      </w:r>
      <w:r>
        <w:rPr>
          <w:szCs w:val="28"/>
        </w:rPr>
        <w:t>, 7, 8 изложить в редакции согласно приложениям 1-8 к настоящему решению.</w:t>
      </w:r>
    </w:p>
    <w:p>
      <w:pPr>
        <w:pStyle w:val="Style32"/>
        <w:spacing w:lineRule="auto" w:line="240" w:before="120" w:after="120"/>
        <w:ind w:firstLine="567"/>
        <w:rPr>
          <w:szCs w:val="28"/>
        </w:rPr>
      </w:pPr>
      <w:r>
        <w:rPr>
          <w:szCs w:val="28"/>
        </w:rPr>
      </w:r>
    </w:p>
    <w:p>
      <w:pPr>
        <w:pStyle w:val="Style32"/>
        <w:spacing w:lineRule="auto" w:line="240" w:before="120" w:after="120"/>
        <w:ind w:firstLine="567"/>
        <w:rPr>
          <w:szCs w:val="28"/>
        </w:rPr>
      </w:pPr>
      <w:r>
        <w:rPr>
          <w:szCs w:val="28"/>
        </w:rPr>
      </w:r>
    </w:p>
    <w:p>
      <w:pPr>
        <w:pStyle w:val="Style32"/>
        <w:spacing w:lineRule="auto" w:line="240" w:before="120" w:after="120"/>
        <w:ind w:firstLine="567"/>
        <w:rPr>
          <w:szCs w:val="28"/>
        </w:rPr>
      </w:pPr>
      <w:r>
        <w:rPr>
          <w:szCs w:val="28"/>
        </w:rPr>
      </w:r>
    </w:p>
    <w:p>
      <w:pPr>
        <w:pStyle w:val="Style32"/>
        <w:spacing w:lineRule="auto" w:line="240" w:before="120" w:after="120"/>
        <w:ind w:firstLine="567"/>
        <w:rPr/>
      </w:pPr>
      <w:r>
        <w:rPr>
          <w:szCs w:val="28"/>
        </w:rPr>
        <w:t>Статья 2.</w:t>
      </w:r>
    </w:p>
    <w:p>
      <w:pPr>
        <w:pStyle w:val="Normal"/>
        <w:widowControl w:val="false"/>
        <w:spacing w:lineRule="auto" w:line="240"/>
        <w:ind w:firstLine="567"/>
        <w:jc w:val="both"/>
        <w:rPr/>
      </w:pPr>
      <w:r>
        <w:rPr>
          <w:color w:val="000000"/>
          <w:szCs w:val="28"/>
        </w:rPr>
        <w:t xml:space="preserve">1. </w:t>
      </w:r>
      <w:hyperlink r:id="rId3">
        <w:r>
          <w:rPr>
            <w:rFonts w:eastAsia="Calibri"/>
            <w:color w:val="000000"/>
            <w:szCs w:val="28"/>
            <w:lang w:eastAsia="en-US"/>
          </w:rPr>
          <w:t xml:space="preserve">Опубликовать настоящее решение в газете «Иньвенский край» </w:t>
        </w:r>
        <w:r>
          <w:rPr>
            <w:color w:val="000000"/>
            <w:szCs w:val="28"/>
          </w:rPr>
          <w:t>и разместить на официальном сайте администрации Кудымкарского муниципального округа Пермского края в информационно-телекоммуникационной сети «Интернет»</w:t>
        </w:r>
        <w:r>
          <w:rPr>
            <w:rFonts w:eastAsia="Calibri"/>
            <w:color w:val="000000"/>
            <w:szCs w:val="28"/>
            <w:lang w:eastAsia="en-US"/>
          </w:rPr>
          <w:t>.</w:t>
        </w:r>
      </w:hyperlink>
    </w:p>
    <w:p>
      <w:pPr>
        <w:pStyle w:val="Normal"/>
        <w:widowControl w:val="false"/>
        <w:spacing w:lineRule="auto" w:line="240"/>
        <w:ind w:firstLine="539"/>
        <w:jc w:val="both"/>
        <w:rPr/>
      </w:pPr>
      <w:r>
        <w:rPr>
          <w:rFonts w:eastAsia="Calibri"/>
          <w:color w:val="000000"/>
          <w:szCs w:val="28"/>
          <w:lang w:eastAsia="en-US"/>
        </w:rPr>
        <w:t>2. Настоящее решение вступает в силу после его официального опубликования в газете «Иньвенский край».</w:t>
      </w:r>
    </w:p>
    <w:p>
      <w:pPr>
        <w:pStyle w:val="Normal"/>
        <w:shd w:val="clear" w:color="auto" w:fill="FFFFFF"/>
        <w:tabs>
          <w:tab w:val="clear" w:pos="709"/>
          <w:tab w:val="left" w:pos="1080" w:leader="none"/>
        </w:tabs>
        <w:spacing w:lineRule="auto" w:line="240"/>
        <w:ind w:left="5" w:firstLine="538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hd w:val="clear" w:color="auto" w:fill="FFFFFF"/>
        <w:tabs>
          <w:tab w:val="clear" w:pos="709"/>
          <w:tab w:val="left" w:pos="1080" w:leader="none"/>
        </w:tabs>
        <w:spacing w:lineRule="auto" w:line="276"/>
        <w:ind w:left="5" w:firstLine="538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hd w:val="clear" w:color="auto" w:fill="FFFFFF"/>
        <w:tabs>
          <w:tab w:val="clear" w:pos="709"/>
          <w:tab w:val="left" w:pos="1080" w:leader="none"/>
        </w:tabs>
        <w:spacing w:lineRule="auto" w:line="276"/>
        <w:ind w:left="5" w:firstLine="538"/>
        <w:jc w:val="both"/>
        <w:rPr>
          <w:szCs w:val="28"/>
        </w:rPr>
      </w:pPr>
      <w:r>
        <w:rPr>
          <w:szCs w:val="28"/>
        </w:rPr>
      </w:r>
    </w:p>
    <w:tbl>
      <w:tblPr>
        <w:tblpPr w:bottomFromText="0" w:horzAnchor="margin" w:leftFromText="180" w:rightFromText="180" w:tblpX="0" w:tblpY="57" w:topFromText="0" w:vertAnchor="text"/>
        <w:tblW w:w="1016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9"/>
        <w:gridCol w:w="5065"/>
      </w:tblGrid>
      <w:tr>
        <w:trPr>
          <w:trHeight w:val="1695" w:hRule="atLeast"/>
        </w:trPr>
        <w:tc>
          <w:tcPr>
            <w:tcW w:w="5099" w:type="dxa"/>
            <w:tcBorders/>
          </w:tcPr>
          <w:p>
            <w:pPr>
              <w:pStyle w:val="Normal"/>
              <w:widowControl w:val="false"/>
              <w:jc w:val="both"/>
              <w:rPr>
                <w:szCs w:val="28"/>
              </w:rPr>
            </w:pPr>
            <w:hyperlink r:id="rId4">
              <w:r>
                <w:rPr>
                  <w:szCs w:val="28"/>
                </w:rPr>
                <w:t>Председатель Думы</w:t>
              </w:r>
            </w:hyperlink>
          </w:p>
          <w:p>
            <w:pPr>
              <w:pStyle w:val="Normal"/>
              <w:widowControl w:val="false"/>
              <w:jc w:val="both"/>
              <w:rPr>
                <w:szCs w:val="28"/>
              </w:rPr>
            </w:pPr>
            <w:hyperlink r:id="rId5">
              <w:r>
                <w:rPr>
                  <w:szCs w:val="28"/>
                </w:rPr>
                <w:t>Кудымкарского муниципального округа Пермского края</w:t>
              </w:r>
            </w:hyperlink>
          </w:p>
          <w:p>
            <w:pPr>
              <w:pStyle w:val="Normal"/>
              <w:widowControl w:val="false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jc w:val="right"/>
              <w:rPr>
                <w:szCs w:val="28"/>
              </w:rPr>
            </w:pPr>
            <w:hyperlink r:id="rId6">
              <w:r>
                <w:rPr>
                  <w:szCs w:val="28"/>
                </w:rPr>
                <w:t>М.А. Петров</w:t>
              </w:r>
            </w:hyperlink>
          </w:p>
        </w:tc>
        <w:tc>
          <w:tcPr>
            <w:tcW w:w="5065" w:type="dxa"/>
            <w:tcBorders/>
          </w:tcPr>
          <w:p>
            <w:pPr>
              <w:pStyle w:val="Normal"/>
              <w:widowControl w:val="false"/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И.п. </w:t>
            </w:r>
            <w:hyperlink r:id="rId7">
              <w:r>
                <w:rPr>
                  <w:szCs w:val="28"/>
                </w:rPr>
                <w:t>главы муниципального округа - главы администрации Кудымкарского муниципального округа Пермского края</w:t>
              </w:r>
            </w:hyperlink>
          </w:p>
          <w:p>
            <w:pPr>
              <w:pStyle w:val="Normal"/>
              <w:widowControl w:val="false"/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ind w:firstLine="34"/>
              <w:jc w:val="right"/>
              <w:rPr>
                <w:szCs w:val="28"/>
              </w:rPr>
            </w:pPr>
            <w:r>
              <w:rPr>
                <w:szCs w:val="28"/>
              </w:rPr>
              <w:t>С.А. Коновалова</w:t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Полный текст решения опубликован на официальном сайте администрации Кудымкарского муниципального округа Пермского края в информационно-телекоммуникационной сети «Интернет» (для сетевого издания) по адресу http://admkudymok.ru/</w:t>
      </w:r>
    </w:p>
    <w:sectPr>
      <w:type w:val="nextPage"/>
      <w:pgSz w:w="11906" w:h="16838"/>
      <w:pgMar w:left="1418" w:right="567" w:gutter="0" w:header="0" w:top="363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501f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qFormat/>
    <w:rsid w:val="005501f1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 w:customStyle="1">
    <w:name w:val="Основной текст Знак"/>
    <w:basedOn w:val="DefaultParagraphFont"/>
    <w:semiHidden/>
    <w:qFormat/>
    <w:rsid w:val="005501f1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5501f1"/>
    <w:rPr>
      <w:rFonts w:ascii="Times New Roman" w:hAnsi="Times New Roman" w:eastAsia="Times New Roman" w:cs="Times New Roman"/>
      <w:sz w:val="28"/>
      <w:szCs w:val="24"/>
      <w:lang w:val="x-none" w:eastAsia="x-none"/>
    </w:rPr>
  </w:style>
  <w:style w:type="character" w:styleId="Pagenumber">
    <w:name w:val="page number"/>
    <w:basedOn w:val="DefaultParagraphFont"/>
    <w:qFormat/>
    <w:rsid w:val="005501f1"/>
    <w:rPr/>
  </w:style>
  <w:style w:type="character" w:styleId="Style17" w:customStyle="1">
    <w:name w:val="Основной текст с отступом Знак"/>
    <w:basedOn w:val="DefaultParagraphFont"/>
    <w:uiPriority w:val="99"/>
    <w:semiHidden/>
    <w:qFormat/>
    <w:rsid w:val="00991661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8" w:customStyle="1">
    <w:name w:val="Текст выноски Знак"/>
    <w:basedOn w:val="DefaultParagraphFont"/>
    <w:uiPriority w:val="99"/>
    <w:semiHidden/>
    <w:qFormat/>
    <w:rsid w:val="00491ab4"/>
    <w:rPr>
      <w:rFonts w:ascii="Segoe UI" w:hAnsi="Segoe UI" w:eastAsia="Times New Roman" w:cs="Segoe UI"/>
      <w:sz w:val="18"/>
      <w:szCs w:val="18"/>
      <w:lang w:eastAsia="ru-RU"/>
    </w:rPr>
  </w:style>
  <w:style w:type="character" w:styleId="Style19" w:customStyle="1">
    <w:name w:val="Текст примечания Знак"/>
    <w:basedOn w:val="DefaultParagraphFont"/>
    <w:uiPriority w:val="99"/>
    <w:qFormat/>
    <w:rsid w:val="008626d3"/>
    <w:rPr>
      <w:sz w:val="20"/>
      <w:szCs w:val="20"/>
    </w:rPr>
  </w:style>
  <w:style w:type="character" w:styleId="Style20" w:customStyle="1">
    <w:name w:val="Hyperlink"/>
    <w:rPr>
      <w:color w:val="000080"/>
      <w:u w:val="single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basedOn w:val="Normal"/>
    <w:semiHidden/>
    <w:rsid w:val="005501f1"/>
    <w:pPr>
      <w:spacing w:before="0" w:after="120"/>
    </w:pPr>
    <w:rPr/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6">
    <w:name w:val="Title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" w:customStyle="1">
    <w:name w:val="Заголовок1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Cs w:val="28"/>
    </w:rPr>
  </w:style>
  <w:style w:type="paragraph" w:styleId="Style27" w:customStyle="1">
    <w:name w:val="Верхний и нижний колонтитулы"/>
    <w:basedOn w:val="Normal"/>
    <w:qFormat/>
    <w:pPr/>
    <w:rPr/>
  </w:style>
  <w:style w:type="paragraph" w:styleId="Style28" w:customStyle="1">
    <w:name w:val="Колонтитул"/>
    <w:basedOn w:val="Normal"/>
    <w:qFormat/>
    <w:pPr/>
    <w:rPr/>
  </w:style>
  <w:style w:type="paragraph" w:styleId="Style29">
    <w:name w:val="Header"/>
    <w:basedOn w:val="Normal"/>
    <w:rsid w:val="005501f1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uiPriority w:val="99"/>
    <w:rsid w:val="005501f1"/>
    <w:pPr>
      <w:tabs>
        <w:tab w:val="clear" w:pos="709"/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11" w:customStyle="1">
    <w:name w:val="Заголовок 11"/>
    <w:next w:val="Normal"/>
    <w:qFormat/>
    <w:rsid w:val="005501f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000000"/>
      <w:kern w:val="0"/>
      <w:sz w:val="24"/>
      <w:szCs w:val="24"/>
      <w:lang w:val="en-US" w:eastAsia="en-US" w:bidi="en-US"/>
    </w:rPr>
  </w:style>
  <w:style w:type="paragraph" w:styleId="Style31">
    <w:name w:val="Body Text Indent"/>
    <w:basedOn w:val="Normal"/>
    <w:uiPriority w:val="99"/>
    <w:semiHidden/>
    <w:unhideWhenUsed/>
    <w:rsid w:val="00991661"/>
    <w:pPr>
      <w:spacing w:before="0" w:after="120"/>
      <w:ind w:left="283" w:hanging="0"/>
    </w:pPr>
    <w:rPr/>
  </w:style>
  <w:style w:type="paragraph" w:styleId="Style32" w:customStyle="1">
    <w:name w:val="Текст акта"/>
    <w:qFormat/>
    <w:rsid w:val="00991661"/>
    <w:pPr>
      <w:widowControl w:val="false"/>
      <w:suppressAutoHyphens w:val="true"/>
      <w:bidi w:val="0"/>
      <w:spacing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ConsPlusNormal" w:customStyle="1">
    <w:name w:val="ConsPlusNormal"/>
    <w:qFormat/>
    <w:rsid w:val="00991661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99166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491ab4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unhideWhenUsed/>
    <w:qFormat/>
    <w:rsid w:val="008626d3"/>
    <w:pPr>
      <w:spacing w:before="0" w:after="200"/>
    </w:pPr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12" w:customStyle="1">
    <w:name w:val="Заголовок 12"/>
    <w:next w:val="Normal"/>
    <w:qFormat/>
    <w:rsid w:val="00c97ddc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000000"/>
      <w:kern w:val="0"/>
      <w:sz w:val="24"/>
      <w:szCs w:val="24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7271e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4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5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6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7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CD09B-921A-4C16-93BD-4BEA37E7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2730</TotalTime>
  <Application>LibreOffice/7.4.0.3$Windows_X86_64 LibreOffice_project/f85e47c08ddd19c015c0114a68350214f7066f5a</Application>
  <AppVersion>15.0000</AppVersion>
  <Pages>3</Pages>
  <Words>757</Words>
  <Characters>4642</Characters>
  <CharactersWithSpaces>5388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2022-03-10T04:32:00Z</dcterms:created>
  <dc:creator>Matrix</dc:creator>
  <dc:description/>
  <dc:language>ru-RU</dc:language>
  <cp:lastModifiedBy/>
  <cp:lastPrinted>2022-09-07T15:09:18Z</cp:lastPrinted>
  <dcterms:modified xsi:type="dcterms:W3CDTF">2022-09-07T15:10:55Z</dcterms:modified>
  <cp:revision>366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