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 № </w:t>
      </w:r>
      <w:r>
        <w:rPr>
          <w:sz w:val="28"/>
          <w:szCs w:val="24"/>
          <w:lang w:eastAsia="zh-CN"/>
        </w:rPr>
        <w:t>89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/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с. Егва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b/>
          <w:b/>
          <w:sz w:val="27"/>
          <w:szCs w:val="27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spacing w:lineRule="auto" w:line="240"/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spacing w:lineRule="auto" w:line="240"/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дата, время, место проведения собрания граждан: 02 сентября 2022 в 18:00 в административном здании Егвинского территориального отдела администрации Кудымкарского муниципального округа Пермского края,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Октябрьская, </w:t>
      </w:r>
      <w:r>
        <w:rPr>
          <w:sz w:val="27"/>
          <w:szCs w:val="27"/>
        </w:rPr>
        <w:t>д. 22а, с. Егва,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spacing w:lineRule="auto" w:line="240"/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«Устройство тротуар по ул. Октябрьская с. Егва»;</w:t>
      </w:r>
    </w:p>
    <w:p>
      <w:pPr>
        <w:pStyle w:val="Style18"/>
        <w:numPr>
          <w:ilvl w:val="1"/>
          <w:numId w:val="2"/>
        </w:numPr>
        <w:spacing w:lineRule="auto" w:line="240"/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spacing w:lineRule="auto" w:line="240"/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spacing w:lineRule="auto" w:line="240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>председатель — Петрова Валентина Григорьевна</w:t>
      </w:r>
      <w:bookmarkStart w:id="2" w:name="__DdeLink__288_949767178"/>
      <w:bookmarkStart w:id="3" w:name="__DdeLink__94_1549910293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spacing w:lineRule="auto" w:line="240"/>
        <w:ind w:left="567" w:hanging="0"/>
        <w:rPr>
          <w:sz w:val="27"/>
          <w:szCs w:val="27"/>
        </w:rPr>
      </w:pPr>
      <w:r>
        <w:rPr>
          <w:sz w:val="27"/>
          <w:szCs w:val="27"/>
        </w:rPr>
        <w:t>секретарь — Тупицына Елена Анатольевна;</w:t>
      </w:r>
    </w:p>
    <w:p>
      <w:pPr>
        <w:pStyle w:val="Style18"/>
        <w:spacing w:lineRule="auto" w:line="240"/>
        <w:ind w:left="567" w:hanging="0"/>
        <w:rPr>
          <w:sz w:val="27"/>
          <w:szCs w:val="27"/>
        </w:rPr>
      </w:pPr>
      <w:r>
        <w:rPr>
          <w:sz w:val="27"/>
          <w:szCs w:val="27"/>
        </w:rPr>
        <w:t>члены комиссии: Сыстерова Оксана Юрьевна</w:t>
      </w:r>
      <w:r>
        <w:rPr>
          <w:sz w:val="27"/>
          <w:szCs w:val="27"/>
          <w:shd w:fill="FFFFFF" w:val="clear"/>
        </w:rPr>
        <w:t>;</w:t>
      </w:r>
    </w:p>
    <w:p>
      <w:pPr>
        <w:pStyle w:val="Style18"/>
        <w:spacing w:lineRule="auto" w:line="240"/>
        <w:ind w:left="567" w:hanging="0"/>
        <w:rPr>
          <w:sz w:val="27"/>
          <w:szCs w:val="27"/>
        </w:rPr>
      </w:pPr>
      <w:r>
        <w:rPr>
          <w:sz w:val="27"/>
          <w:szCs w:val="27"/>
          <w:shd w:fill="auto" w:val="clear"/>
        </w:rPr>
        <w:tab/>
        <w:tab/>
        <w:tab/>
        <w:t xml:space="preserve">      Дорош Елена Владимировна.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1.5. инициатор собрания: председатель инициативной группы Петрова Валентина Григорьевна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1.6. территория для реализации инициативного проекта: в границах с. Егва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1.7. численность граждан проживающих в данном населенном пункте: 750 человек.</w:t>
      </w:r>
    </w:p>
    <w:p>
      <w:pPr>
        <w:pStyle w:val="Normal"/>
        <w:spacing w:lineRule="auto" w:line="240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pacing w:lineRule="auto" w:line="240"/>
        <w:ind w:firstLine="567"/>
        <w:jc w:val="both"/>
        <w:rPr>
          <w:lang w:eastAsia="zh-CN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20"/>
          <w:tab w:val="right" w:pos="9214" w:leader="none"/>
        </w:tabs>
        <w:spacing w:lineRule="auto" w:line="240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spacing w:lineRule="auto" w:line="240"/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spacing w:lineRule="auto" w:line="240"/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LibreOffice/6.3.0.4$Windows_X86_64 LibreOffice_project/057fc023c990d676a43019934386b85b21a9ee99</Application>
  <Pages>1</Pages>
  <Words>258</Words>
  <Characters>1847</Characters>
  <CharactersWithSpaces>2112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2022-08-22T15:45:15Z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