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81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с. Верх-Иньва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3 сентября 2022 в 15:00 в здании Верх-Иньвенского СКДЦ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Ленина, </w:t>
      </w:r>
      <w:r>
        <w:rPr>
          <w:sz w:val="27"/>
          <w:szCs w:val="27"/>
        </w:rPr>
        <w:t>д. 22, с. Верх-Иньва 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«Текущий ремонт участка автомобильной дороги по ул. Дзержинского с.Верх-Иньва»;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предполагаемое количество участников: 60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7"/>
          <w:szCs w:val="27"/>
        </w:rPr>
        <w:t>председатель -Устюжанцева Александра Ивановна</w:t>
      </w:r>
      <w:bookmarkStart w:id="2" w:name="__DdeLink__94_1549910293"/>
      <w:bookmarkStart w:id="3" w:name="__DdeLink__288_949767178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секретарь — Генне Татьяна Павловна;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члены комиссии: Четина Галина Филипповна</w:t>
      </w:r>
      <w:r>
        <w:rPr>
          <w:sz w:val="27"/>
          <w:szCs w:val="27"/>
          <w:shd w:fill="FFFFFF" w:val="clear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  <w:shd w:fill="auto" w:val="clear"/>
        </w:rPr>
        <w:tab/>
        <w:tab/>
        <w:tab/>
        <w:t xml:space="preserve">       Генне Виктор Федорович.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7"/>
          <w:szCs w:val="27"/>
        </w:rPr>
        <w:tab/>
        <w:t>1.5. инициатор собрания: председатель инициативной группы Устюжанцева Александра Ивановна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1.6. территория для реализации инициативного проекта: в границах с.Верх-Иньва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1.7. численность граждан проживающих в данном населенном пункте: 1285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LibreOffice/6.3.0.4$Windows_X86_64 LibreOffice_project/057fc023c990d676a43019934386b85b21a9ee99</Application>
  <Pages>1</Pages>
  <Words>251</Words>
  <Characters>1785</Characters>
  <CharactersWithSpaces>2043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2022-08-18T16:35:16Z</cp:lastPrinted>
  <dcterms:modified xsi:type="dcterms:W3CDTF">2022-08-22T15:39:20Z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