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33" w:rsidRDefault="00516433" w:rsidP="005164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F6861A" wp14:editId="32836FAF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33" w:rsidRDefault="00516433" w:rsidP="0051643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32AFD">
        <w:rPr>
          <w:rFonts w:ascii="Times New Roman" w:hAnsi="Times New Roman" w:cs="Times New Roman"/>
          <w:b/>
          <w:sz w:val="28"/>
        </w:rPr>
        <w:t>П</w:t>
      </w:r>
      <w:proofErr w:type="gramEnd"/>
      <w:r w:rsidRPr="00132AFD">
        <w:rPr>
          <w:rFonts w:ascii="Times New Roman" w:hAnsi="Times New Roman" w:cs="Times New Roman"/>
          <w:b/>
          <w:sz w:val="28"/>
        </w:rPr>
        <w:t xml:space="preserve"> О С Т А Н О В Л Е Н И Е </w:t>
      </w:r>
    </w:p>
    <w:p w:rsidR="00516433" w:rsidRPr="00132AFD" w:rsidRDefault="00516433" w:rsidP="00516433">
      <w:pPr>
        <w:spacing w:after="0"/>
        <w:jc w:val="center"/>
        <w:rPr>
          <w:rFonts w:ascii="Times New Roman" w:hAnsi="Times New Roman" w:cs="Times New Roman"/>
          <w:b/>
        </w:rPr>
      </w:pPr>
      <w:r w:rsidRPr="00132AFD">
        <w:rPr>
          <w:rFonts w:ascii="Times New Roman" w:hAnsi="Times New Roman" w:cs="Times New Roman"/>
          <w:b/>
        </w:rPr>
        <w:t>АДМИНИСТРАЦИИ КУДЫМКАРСКОГО МУНИЦИПАЛЬНОГО ОКРУГА</w:t>
      </w:r>
    </w:p>
    <w:p w:rsidR="00516433" w:rsidRDefault="00516433" w:rsidP="00516433">
      <w:pPr>
        <w:spacing w:after="0"/>
        <w:jc w:val="center"/>
        <w:rPr>
          <w:rFonts w:ascii="Times New Roman" w:hAnsi="Times New Roman" w:cs="Times New Roman"/>
          <w:b/>
        </w:rPr>
      </w:pPr>
      <w:r w:rsidRPr="00132AFD">
        <w:rPr>
          <w:rFonts w:ascii="Times New Roman" w:hAnsi="Times New Roman" w:cs="Times New Roman"/>
          <w:b/>
        </w:rPr>
        <w:t>ПЕРМСКОГО КРАЯ</w:t>
      </w:r>
    </w:p>
    <w:p w:rsidR="00A35D1A" w:rsidRDefault="00A35D1A" w:rsidP="00A35D1A">
      <w:pPr>
        <w:spacing w:after="0" w:line="240" w:lineRule="auto"/>
        <w:rPr>
          <w:sz w:val="28"/>
          <w:szCs w:val="28"/>
        </w:rPr>
      </w:pPr>
    </w:p>
    <w:p w:rsidR="00C52DC3" w:rsidRDefault="00094684" w:rsidP="00094684">
      <w:pPr>
        <w:spacing w:after="0" w:line="240" w:lineRule="auto"/>
        <w:jc w:val="center"/>
        <w:rPr>
          <w:sz w:val="28"/>
          <w:szCs w:val="28"/>
        </w:rPr>
      </w:pPr>
      <w:r w:rsidRPr="00B201CE">
        <w:rPr>
          <w:rFonts w:ascii="Times New Roman" w:hAnsi="Times New Roman" w:cs="Times New Roman"/>
          <w:sz w:val="28"/>
          <w:szCs w:val="28"/>
          <w:u w:val="single"/>
        </w:rPr>
        <w:t>08.07.2022</w:t>
      </w:r>
      <w:r>
        <w:rPr>
          <w:sz w:val="28"/>
          <w:szCs w:val="28"/>
        </w:rPr>
        <w:t xml:space="preserve">                                         </w:t>
      </w:r>
      <w:r w:rsidR="00B201CE">
        <w:rPr>
          <w:sz w:val="28"/>
          <w:szCs w:val="28"/>
        </w:rPr>
        <w:t xml:space="preserve">                                     </w:t>
      </w:r>
      <w:r w:rsidR="00B201CE" w:rsidRPr="00B201CE">
        <w:rPr>
          <w:rFonts w:ascii="Times New Roman" w:hAnsi="Times New Roman" w:cs="Times New Roman"/>
          <w:sz w:val="28"/>
          <w:szCs w:val="28"/>
          <w:u w:val="single"/>
        </w:rPr>
        <w:t>СЭД-260-01-06-1201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81BD7" w:rsidRPr="00D81BD7" w:rsidTr="003A028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A0281" w:rsidRDefault="003A0281" w:rsidP="00D81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BD7" w:rsidRPr="00D81BD7" w:rsidRDefault="00D81BD7" w:rsidP="00D81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D91FC5" w:rsidRPr="00D91F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="00D91FC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91FC5" w:rsidRPr="00D91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Кудымкарского муниципального округа Пермского края на 2022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утвержденную постановлением администрации Кудымкарского муниципального округа Пермского края от </w:t>
            </w:r>
            <w:r w:rsidR="00D91F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07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 № СЭД-260-01-06-19</w:t>
            </w:r>
            <w:r w:rsidR="00D91FC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516433" w:rsidRPr="00A35D1A" w:rsidRDefault="00516433" w:rsidP="00A35D1A">
      <w:pPr>
        <w:spacing w:after="0" w:line="240" w:lineRule="auto"/>
        <w:rPr>
          <w:sz w:val="28"/>
          <w:szCs w:val="28"/>
        </w:rPr>
      </w:pPr>
    </w:p>
    <w:p w:rsidR="00D91FC5" w:rsidRPr="00D91FC5" w:rsidRDefault="00D91FC5" w:rsidP="00D9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D9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Кудымкарского муниципального округа Пермского края,</w:t>
      </w:r>
      <w:r w:rsidRPr="00D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Кудымкарского муниципального округа Пермского края от 22.10.2021 № 144 «Об утверждении Положения о муниципальном земельном контроле на территории</w:t>
      </w:r>
      <w:r w:rsidRPr="00D9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Кудымкарского муниципального округа Пермского края</w:t>
      </w:r>
      <w:proofErr w:type="gramEnd"/>
      <w:r w:rsidRPr="00D9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Кудымкарского муниципального округа Пермского края</w:t>
      </w:r>
    </w:p>
    <w:p w:rsidR="00F05734" w:rsidRDefault="00AE1297" w:rsidP="00AE12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75B3E">
        <w:rPr>
          <w:rFonts w:ascii="Times New Roman" w:hAnsi="Times New Roman" w:cs="Times New Roman"/>
          <w:sz w:val="28"/>
          <w:szCs w:val="28"/>
        </w:rPr>
        <w:t>:</w:t>
      </w:r>
    </w:p>
    <w:p w:rsidR="00F17150" w:rsidRDefault="00F17150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17150" w:rsidRPr="003A0281" w:rsidRDefault="00F17150" w:rsidP="003A02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56923">
        <w:rPr>
          <w:sz w:val="28"/>
        </w:rPr>
        <w:t xml:space="preserve">Внести </w:t>
      </w:r>
      <w:r w:rsidR="008D1607">
        <w:rPr>
          <w:sz w:val="28"/>
        </w:rPr>
        <w:t xml:space="preserve">в </w:t>
      </w:r>
      <w:r w:rsidR="00D91FC5" w:rsidRPr="00D91FC5">
        <w:rPr>
          <w:sz w:val="28"/>
          <w:szCs w:val="28"/>
        </w:rPr>
        <w:t>Программ</w:t>
      </w:r>
      <w:r w:rsidR="00D91FC5">
        <w:rPr>
          <w:sz w:val="28"/>
          <w:szCs w:val="28"/>
        </w:rPr>
        <w:t>у</w:t>
      </w:r>
      <w:r w:rsidR="00D91FC5" w:rsidRPr="00D91FC5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Кудымкарского муниципального округа Пермского края на 2022 год</w:t>
      </w:r>
      <w:r w:rsidR="00AE1297" w:rsidRPr="003A0281">
        <w:rPr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от </w:t>
      </w:r>
      <w:r w:rsidR="00D91FC5">
        <w:rPr>
          <w:sz w:val="28"/>
          <w:szCs w:val="28"/>
        </w:rPr>
        <w:t>14</w:t>
      </w:r>
      <w:r w:rsidR="00AE1297" w:rsidRPr="003A0281">
        <w:rPr>
          <w:sz w:val="28"/>
          <w:szCs w:val="28"/>
        </w:rPr>
        <w:t>.12.2021 № СЭД-260-01-06-19</w:t>
      </w:r>
      <w:r w:rsidR="00D91FC5">
        <w:rPr>
          <w:sz w:val="28"/>
          <w:szCs w:val="28"/>
        </w:rPr>
        <w:t>74</w:t>
      </w:r>
      <w:r w:rsidR="00911A6E">
        <w:rPr>
          <w:sz w:val="28"/>
          <w:szCs w:val="28"/>
        </w:rPr>
        <w:t>,</w:t>
      </w:r>
      <w:r w:rsidR="00A37BC0" w:rsidRPr="003A0281">
        <w:rPr>
          <w:sz w:val="28"/>
          <w:szCs w:val="28"/>
        </w:rPr>
        <w:t xml:space="preserve"> следующие изменения:</w:t>
      </w:r>
    </w:p>
    <w:p w:rsidR="000E4A08" w:rsidRDefault="00EC074F" w:rsidP="000E4A0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1.1.</w:t>
      </w:r>
      <w:r w:rsidR="000E4A08" w:rsidRPr="003A0281">
        <w:rPr>
          <w:sz w:val="28"/>
          <w:szCs w:val="28"/>
        </w:rPr>
        <w:t xml:space="preserve"> </w:t>
      </w:r>
      <w:r w:rsidR="00FC3937">
        <w:rPr>
          <w:sz w:val="28"/>
          <w:szCs w:val="28"/>
        </w:rPr>
        <w:t>Р</w:t>
      </w:r>
      <w:r w:rsidR="000E4A08" w:rsidRPr="003A0281">
        <w:rPr>
          <w:sz w:val="28"/>
          <w:szCs w:val="28"/>
        </w:rPr>
        <w:t xml:space="preserve">аздел 2 </w:t>
      </w:r>
      <w:r w:rsidR="000E4A08">
        <w:rPr>
          <w:sz w:val="28"/>
          <w:szCs w:val="20"/>
        </w:rPr>
        <w:t>изложить в следующей редакции:</w:t>
      </w:r>
    </w:p>
    <w:p w:rsidR="000E4A08" w:rsidRPr="003A0281" w:rsidRDefault="000E4A08" w:rsidP="000E4A08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0133C7">
        <w:rPr>
          <w:sz w:val="28"/>
          <w:szCs w:val="28"/>
        </w:rPr>
        <w:t>«</w:t>
      </w:r>
      <w:r w:rsidRPr="003A0281">
        <w:rPr>
          <w:b/>
          <w:color w:val="000000"/>
          <w:sz w:val="28"/>
          <w:szCs w:val="28"/>
        </w:rPr>
        <w:t>2. О</w:t>
      </w:r>
      <w:r w:rsidRPr="003A0281">
        <w:rPr>
          <w:rFonts w:eastAsia="Calibri"/>
          <w:b/>
          <w:sz w:val="28"/>
          <w:szCs w:val="28"/>
        </w:rPr>
        <w:t>писание текущего развития профилактической деятельности администрации Кудымкарского муниципального округа</w:t>
      </w:r>
    </w:p>
    <w:p w:rsidR="000E4A08" w:rsidRPr="003A0281" w:rsidRDefault="000E4A08" w:rsidP="000E4A0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281">
        <w:rPr>
          <w:rFonts w:eastAsia="Calibri"/>
          <w:b/>
          <w:sz w:val="28"/>
          <w:szCs w:val="28"/>
        </w:rPr>
        <w:t>Пермского края</w:t>
      </w:r>
    </w:p>
    <w:p w:rsidR="000E4A08" w:rsidRPr="00667066" w:rsidRDefault="000E4A08" w:rsidP="00FC39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</w:t>
      </w:r>
      <w:r w:rsidRPr="000133C7">
        <w:rPr>
          <w:color w:val="1E1D1E"/>
          <w:sz w:val="28"/>
          <w:szCs w:val="28"/>
        </w:rPr>
        <w:t>.1</w:t>
      </w:r>
      <w:r>
        <w:rPr>
          <w:color w:val="1E1D1E"/>
          <w:sz w:val="28"/>
          <w:szCs w:val="28"/>
        </w:rPr>
        <w:t>.</w:t>
      </w:r>
      <w:r w:rsidRPr="000133C7">
        <w:rPr>
          <w:color w:val="1E1D1E"/>
          <w:sz w:val="28"/>
          <w:szCs w:val="28"/>
        </w:rPr>
        <w:t xml:space="preserve"> </w:t>
      </w:r>
      <w:r w:rsidRPr="00A33AFB">
        <w:rPr>
          <w:color w:val="1E1D1E"/>
          <w:sz w:val="28"/>
          <w:szCs w:val="28"/>
        </w:rPr>
        <w:t xml:space="preserve">Муниципальный </w:t>
      </w:r>
      <w:r>
        <w:rPr>
          <w:color w:val="1E1D1E"/>
          <w:sz w:val="28"/>
          <w:szCs w:val="28"/>
        </w:rPr>
        <w:t xml:space="preserve">земельный </w:t>
      </w:r>
      <w:r w:rsidRPr="00A33AFB">
        <w:rPr>
          <w:color w:val="1E1D1E"/>
          <w:sz w:val="28"/>
          <w:szCs w:val="28"/>
        </w:rPr>
        <w:t>контроль осуществляется Комитетом по управлению муниципальным имуществом администрации Кудымкарского муниципального округа Пермского края (далее - Контрольный орган).</w:t>
      </w:r>
      <w:r>
        <w:rPr>
          <w:color w:val="1E1D1E"/>
          <w:sz w:val="28"/>
          <w:szCs w:val="28"/>
        </w:rPr>
        <w:t xml:space="preserve"> </w:t>
      </w:r>
      <w:r w:rsidRPr="00A33AFB">
        <w:rPr>
          <w:color w:val="1E1D1E"/>
          <w:sz w:val="28"/>
          <w:szCs w:val="28"/>
        </w:rPr>
        <w:t>Непосредственное осуществление муниципального контроля возлагается на сектор по земельным отношениям Комитета по управлению муниципальным имуществом администрации Кудымкарского муниципального округа Пермского края</w:t>
      </w:r>
      <w:r>
        <w:rPr>
          <w:color w:val="1E1D1E"/>
          <w:sz w:val="28"/>
          <w:szCs w:val="28"/>
        </w:rPr>
        <w:t>.</w:t>
      </w:r>
    </w:p>
    <w:p w:rsidR="00253108" w:rsidRPr="00253108" w:rsidRDefault="000E4A08" w:rsidP="00FC3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2.2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proofErr w:type="gramStart"/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Положением о 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земельном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контроле 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 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Кудымкарского муниципального округа Пермского края, утвержденным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р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Думы Кудымкарского муниципального округа Пермского края от 2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.2021 № 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144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(далее – Положение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предметом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ого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F342B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земельного 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я</w:t>
      </w:r>
      <w:r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3108" w:rsidRPr="00253108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</w:t>
      </w:r>
      <w:r w:rsidR="00911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A08" w:rsidRDefault="009A0C58" w:rsidP="009A0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систематизации, обобщения и анализа информации о результатах проверок</w:t>
      </w:r>
      <w:r w:rsidR="000E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в сфере </w:t>
      </w:r>
      <w:r w:rsidR="002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</w:t>
      </w:r>
      <w:r w:rsidR="000E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E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</w:t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выводы, что наиболее частыми нарушениями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11A6E" w:rsidRPr="00911A6E" w:rsidRDefault="00911A6E" w:rsidP="009A0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C58" w:rsidRDefault="009A0C58" w:rsidP="009A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</w:t>
      </w:r>
      <w:r w:rsidR="00911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 прав на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C58" w:rsidRPr="009A0C58" w:rsidRDefault="009A0C58" w:rsidP="009A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C58" w:rsidRDefault="009A0C58" w:rsidP="009A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911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целевому назначению в соответствии с его принадлежностью к той или 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земель и разрешенным использованием.</w:t>
      </w:r>
    </w:p>
    <w:p w:rsidR="000E4A08" w:rsidRPr="00E74CE9" w:rsidRDefault="009A0C58" w:rsidP="009A0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муниципального </w:t>
      </w:r>
      <w:r w:rsidR="002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являются: </w:t>
      </w:r>
    </w:p>
    <w:p w:rsidR="00253108" w:rsidRPr="00253108" w:rsidRDefault="009A0C58" w:rsidP="00253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5310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08" w:rsidRPr="00253108">
        <w:rPr>
          <w:rFonts w:ascii="Times New Roman" w:hAnsi="Times New Roman" w:cs="Times New Roman"/>
          <w:sz w:val="28"/>
          <w:szCs w:val="28"/>
        </w:rPr>
        <w:t>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действия (бездействие);</w:t>
      </w:r>
    </w:p>
    <w:p w:rsidR="00253108" w:rsidRDefault="009A0C58" w:rsidP="00253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53108">
        <w:rPr>
          <w:rFonts w:ascii="Times New Roman" w:hAnsi="Times New Roman" w:cs="Times New Roman"/>
          <w:sz w:val="28"/>
          <w:szCs w:val="28"/>
        </w:rPr>
        <w:t>.2.</w:t>
      </w:r>
      <w:r w:rsidR="002531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108" w:rsidRPr="00253108">
        <w:rPr>
          <w:rFonts w:ascii="Times New Roman" w:hAnsi="Times New Roman" w:cs="Times New Roman"/>
          <w:sz w:val="28"/>
          <w:szCs w:val="28"/>
        </w:rPr>
        <w:t>объекты земельных отношений (земли, земельные участки или части земельных участков), расположенные в границах Кудымкарского муниципального округа Пермского края</w:t>
      </w:r>
      <w:proofErr w:type="gramStart"/>
      <w:r w:rsidR="00253108" w:rsidRPr="00253108">
        <w:rPr>
          <w:rFonts w:ascii="Times New Roman" w:hAnsi="Times New Roman" w:cs="Times New Roman"/>
          <w:sz w:val="28"/>
          <w:szCs w:val="28"/>
        </w:rPr>
        <w:t>.</w:t>
      </w:r>
      <w:r w:rsidR="00DE799F">
        <w:rPr>
          <w:rFonts w:ascii="Times New Roman" w:hAnsi="Times New Roman" w:cs="Times New Roman"/>
          <w:sz w:val="28"/>
          <w:szCs w:val="28"/>
        </w:rPr>
        <w:t>»</w:t>
      </w:r>
      <w:r w:rsidR="00911A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4461" w:rsidRPr="00667066" w:rsidRDefault="00994461" w:rsidP="00994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Приложение изложить в редакции согласно приложению </w:t>
      </w:r>
      <w:r w:rsidRPr="003A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0E4A08" w:rsidRDefault="00DE799F" w:rsidP="000E4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 Кудымкарского муниципального округа Пермского края</w:t>
      </w:r>
      <w:r w:rsidR="000E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r w:rsidR="002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0E4A08"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515B4" w:rsidRDefault="00DE799F" w:rsidP="003A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3937">
        <w:rPr>
          <w:rFonts w:ascii="Times New Roman" w:hAnsi="Times New Roman"/>
          <w:sz w:val="28"/>
          <w:szCs w:val="28"/>
        </w:rPr>
        <w:t>.</w:t>
      </w:r>
      <w:r w:rsidR="00447F6A">
        <w:rPr>
          <w:rFonts w:ascii="Times New Roman" w:hAnsi="Times New Roman"/>
          <w:sz w:val="28"/>
          <w:szCs w:val="28"/>
        </w:rPr>
        <w:t xml:space="preserve"> </w:t>
      </w:r>
      <w:r w:rsidR="00960F84">
        <w:rPr>
          <w:rFonts w:ascii="Times New Roman" w:hAnsi="Times New Roman"/>
          <w:sz w:val="28"/>
          <w:szCs w:val="28"/>
        </w:rPr>
        <w:t>Настоящее</w:t>
      </w:r>
      <w:r w:rsidR="009515B4">
        <w:rPr>
          <w:rFonts w:ascii="Times New Roman" w:hAnsi="Times New Roman"/>
          <w:sz w:val="28"/>
          <w:szCs w:val="28"/>
        </w:rPr>
        <w:t xml:space="preserve"> постановление </w:t>
      </w:r>
      <w:r w:rsidR="00960F84">
        <w:rPr>
          <w:rFonts w:ascii="Times New Roman" w:hAnsi="Times New Roman"/>
          <w:sz w:val="28"/>
          <w:szCs w:val="28"/>
        </w:rPr>
        <w:t xml:space="preserve">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960F84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9515B4">
        <w:rPr>
          <w:rFonts w:ascii="Times New Roman" w:hAnsi="Times New Roman"/>
          <w:sz w:val="28"/>
          <w:szCs w:val="28"/>
        </w:rPr>
        <w:t>в газете «Иньвенский край»</w:t>
      </w:r>
      <w:r w:rsidR="00E26E60">
        <w:rPr>
          <w:rFonts w:ascii="Times New Roman" w:hAnsi="Times New Roman"/>
          <w:sz w:val="28"/>
          <w:szCs w:val="28"/>
        </w:rPr>
        <w:t xml:space="preserve"> и</w:t>
      </w:r>
      <w:r w:rsidR="009515B4">
        <w:rPr>
          <w:rFonts w:ascii="Times New Roman" w:hAnsi="Times New Roman"/>
          <w:sz w:val="28"/>
          <w:szCs w:val="28"/>
        </w:rPr>
        <w:t xml:space="preserve"> </w:t>
      </w:r>
      <w:r w:rsidR="00366C3A">
        <w:rPr>
          <w:rFonts w:ascii="Times New Roman" w:hAnsi="Times New Roman"/>
          <w:sz w:val="28"/>
          <w:szCs w:val="28"/>
        </w:rPr>
        <w:t xml:space="preserve">подлежит </w:t>
      </w:r>
      <w:r w:rsidR="009515B4">
        <w:rPr>
          <w:rFonts w:ascii="Times New Roman" w:hAnsi="Times New Roman"/>
          <w:sz w:val="28"/>
          <w:szCs w:val="28"/>
        </w:rPr>
        <w:t>разме</w:t>
      </w:r>
      <w:r w:rsidR="00366C3A">
        <w:rPr>
          <w:rFonts w:ascii="Times New Roman" w:hAnsi="Times New Roman"/>
          <w:sz w:val="28"/>
          <w:szCs w:val="28"/>
        </w:rPr>
        <w:t>щению</w:t>
      </w:r>
      <w:r w:rsidR="009515B4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366C3A">
        <w:rPr>
          <w:rFonts w:ascii="Times New Roman" w:hAnsi="Times New Roman"/>
          <w:sz w:val="28"/>
          <w:szCs w:val="28"/>
        </w:rPr>
        <w:t xml:space="preserve"> администрации</w:t>
      </w:r>
      <w:r w:rsidR="009515B4"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 в информационно-телекоммуникационной сети «Интернет».</w:t>
      </w:r>
    </w:p>
    <w:p w:rsidR="009515B4" w:rsidRDefault="009515B4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05734" w:rsidRDefault="00F05734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E4260" w:rsidRDefault="004E4260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704"/>
        <w:gridCol w:w="2503"/>
      </w:tblGrid>
      <w:tr w:rsidR="009515B4" w:rsidRPr="00FA29FE" w:rsidTr="00931FF3">
        <w:trPr>
          <w:trHeight w:val="572"/>
        </w:trPr>
        <w:tc>
          <w:tcPr>
            <w:tcW w:w="7704" w:type="dxa"/>
            <w:shd w:val="clear" w:color="auto" w:fill="auto"/>
            <w:hideMark/>
          </w:tcPr>
          <w:p w:rsidR="009515B4" w:rsidRPr="00FA29FE" w:rsidRDefault="003A0281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9515B4" w:rsidRPr="00FA29F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515B4" w:rsidRPr="00FA29F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</w:t>
            </w: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A0281">
              <w:rPr>
                <w:rFonts w:ascii="Times New Roman" w:hAnsi="Times New Roman"/>
                <w:sz w:val="28"/>
                <w:szCs w:val="28"/>
              </w:rPr>
              <w:t>ы</w:t>
            </w:r>
            <w:r w:rsidRPr="00FA29FE">
              <w:rPr>
                <w:rFonts w:ascii="Times New Roman" w:hAnsi="Times New Roman"/>
                <w:sz w:val="28"/>
                <w:szCs w:val="28"/>
              </w:rPr>
              <w:t xml:space="preserve"> администрации Кудымкарского </w:t>
            </w: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>муниципального округа Пермского края</w:t>
            </w:r>
          </w:p>
        </w:tc>
        <w:tc>
          <w:tcPr>
            <w:tcW w:w="2503" w:type="dxa"/>
            <w:shd w:val="clear" w:color="auto" w:fill="auto"/>
          </w:tcPr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DC5" w:rsidRPr="00FA29FE" w:rsidRDefault="009515B4" w:rsidP="003A028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0281">
              <w:rPr>
                <w:rFonts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 w:rsidR="003A0281" w:rsidRPr="003A0281" w:rsidRDefault="003A0281" w:rsidP="003A0281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4483"/>
      </w:tblGrid>
      <w:tr w:rsidR="00690E59" w:rsidTr="00FC3937">
        <w:tc>
          <w:tcPr>
            <w:tcW w:w="2789" w:type="pct"/>
          </w:tcPr>
          <w:p w:rsidR="00690E59" w:rsidRDefault="00690E59" w:rsidP="00690E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pct"/>
          </w:tcPr>
          <w:p w:rsidR="00690E59" w:rsidRPr="003A0281" w:rsidRDefault="00690E59" w:rsidP="00690E5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C64F0B" w:rsidRDefault="00690E59" w:rsidP="00C64F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C64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12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остановлению администрации Кудымкарского муниципального округа Пермского края</w:t>
            </w:r>
          </w:p>
          <w:p w:rsidR="00690E59" w:rsidRDefault="00C64F0B" w:rsidP="0009468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946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08.07.2022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94684" w:rsidRPr="000946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СЭД-260-01-06-2001</w:t>
            </w:r>
          </w:p>
        </w:tc>
      </w:tr>
    </w:tbl>
    <w:p w:rsidR="00690E59" w:rsidRDefault="00690E59" w:rsidP="00690E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281" w:rsidRPr="00FD0F76" w:rsidRDefault="003A0281" w:rsidP="003A02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D0F7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Перечень профилактических мероприятий,</w:t>
      </w:r>
    </w:p>
    <w:p w:rsidR="003A0281" w:rsidRPr="003A0281" w:rsidRDefault="003A0281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F7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 (периодичность) их проведения</w:t>
      </w:r>
    </w:p>
    <w:p w:rsidR="00E17897" w:rsidRDefault="00E17897" w:rsidP="00447F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234"/>
        <w:gridCol w:w="3646"/>
        <w:gridCol w:w="1953"/>
        <w:gridCol w:w="1867"/>
      </w:tblGrid>
      <w:tr w:rsidR="00073639" w:rsidRPr="00073639" w:rsidTr="00FC3937"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мероприятия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b/>
                <w:lang w:eastAsia="ru-RU"/>
              </w:rPr>
              <w:t>Форма мероприятия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Подразделение и (или) должностные лица администрации Кудымкарского муниципального округа Пермского края, ответственные за реализацию мероприятия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b/>
                <w:lang w:eastAsia="ru-RU"/>
              </w:rPr>
              <w:t>Сроки (периодичность) их проведения</w:t>
            </w:r>
          </w:p>
        </w:tc>
      </w:tr>
      <w:tr w:rsidR="00073639" w:rsidRPr="00073639" w:rsidTr="00FC3937"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3639" w:rsidRPr="00073639" w:rsidTr="00FC3937">
        <w:trPr>
          <w:trHeight w:val="3297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639" w:rsidRPr="00073639" w:rsidRDefault="00073639" w:rsidP="00073639">
            <w:pPr>
              <w:spacing w:after="0" w:line="240" w:lineRule="auto"/>
              <w:ind w:left="-25"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639" w:rsidRPr="00073639" w:rsidRDefault="00073639" w:rsidP="0007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в средствах массовой информации, на официальном сайте Кудымкарского муниципального округа Пермского края в информационно-телекоммуникационной сети «Интернет» и в иных формах. Контрольный орган обязан размещать и поддерживать в актуальном состоянии на официальном сайте Кудымкарского муниципального округа Пермского края в информационно-телекоммуникационной сети «Интернет» сведения, определенные частью 3 статьи 46 Федерального закона № 248-ФЗ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 Комитета по управлению муниципальным имуществом администрации Кудымкарского муниципального округа Пермского края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639" w:rsidRPr="00073639" w:rsidRDefault="00073639" w:rsidP="00073639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073639" w:rsidRPr="00073639" w:rsidRDefault="00073639" w:rsidP="00073639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3639" w:rsidRPr="00073639" w:rsidTr="00FC3937">
        <w:trPr>
          <w:trHeight w:val="1660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Специалисты осуществляют консультирование контролируемых лиц и их представителей:</w:t>
            </w:r>
          </w:p>
          <w:p w:rsidR="00073639" w:rsidRPr="00073639" w:rsidRDefault="00073639" w:rsidP="00073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73639" w:rsidRPr="00073639" w:rsidRDefault="00073639" w:rsidP="00073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 xml:space="preserve">2) письменные ответы предоставляются только на письменные запросы </w:t>
            </w: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контролируемых лиц;</w:t>
            </w:r>
          </w:p>
          <w:p w:rsidR="00073639" w:rsidRPr="00073639" w:rsidRDefault="00073639" w:rsidP="000736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3)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073639" w:rsidRPr="00073639" w:rsidRDefault="00073639" w:rsidP="0007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Должностные лица Комитета по управлению муниципальным имуществом администрации Кудымкарского муниципального округа Пермского края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обращений в течение года</w:t>
            </w:r>
          </w:p>
        </w:tc>
      </w:tr>
      <w:tr w:rsidR="00073639" w:rsidRPr="00073639" w:rsidTr="00FC3937">
        <w:trPr>
          <w:trHeight w:val="2557"/>
        </w:trPr>
        <w:tc>
          <w:tcPr>
            <w:tcW w:w="1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073639" w:rsidRPr="00073639" w:rsidRDefault="00073639" w:rsidP="0007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земельным отношениям Комитета по управлению муниципальным имуществом администрации Кудымкарского муниципального округа Пермского края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месяц третьего квартала текущего года</w:t>
            </w:r>
          </w:p>
        </w:tc>
      </w:tr>
      <w:tr w:rsidR="00073639" w:rsidRPr="00073639" w:rsidTr="00FC3937">
        <w:trPr>
          <w:trHeight w:val="1374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3639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73639">
              <w:rPr>
                <w:rFonts w:ascii="Times New Roman" w:eastAsia="Calibri" w:hAnsi="Times New Roman" w:cs="Times New Roman"/>
                <w:lang w:eastAsia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(далее-предостережение)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      </w:r>
            <w:proofErr w:type="gramEnd"/>
            <w:r w:rsidRPr="00073639">
              <w:rPr>
                <w:rFonts w:ascii="Times New Roman" w:eastAsia="Calibri" w:hAnsi="Times New Roman" w:cs="Times New Roman"/>
                <w:lang w:eastAsia="ru-RU"/>
              </w:rPr>
              <w:t xml:space="preserve"> обязательных требований</w:t>
            </w:r>
          </w:p>
        </w:tc>
        <w:tc>
          <w:tcPr>
            <w:tcW w:w="976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земельным отношениям Комитета по управлению муниципальным имуществом администрации Кудымкарского муниципального округа Пермского края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3639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</w:tc>
      </w:tr>
      <w:tr w:rsidR="00073639" w:rsidRPr="00073639" w:rsidTr="00FC3937">
        <w:trPr>
          <w:trHeight w:val="1770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pacing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639" w:rsidRPr="00073639" w:rsidRDefault="00073639" w:rsidP="00073639">
            <w:pPr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639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073639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639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Комитета по управлению муниципальным имуществом администрации Кудымкарского муниципального округа Пермского края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639" w:rsidRPr="00073639" w:rsidRDefault="00FC3937" w:rsidP="0007363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37">
              <w:rPr>
                <w:rFonts w:ascii="Times New Roman" w:eastAsia="Times New Roman" w:hAnsi="Times New Roman" w:cs="Times New Roman"/>
                <w:lang w:eastAsia="ru-RU"/>
              </w:rPr>
              <w:t>До 1 апреля за предыдущий календарный год</w:t>
            </w:r>
          </w:p>
        </w:tc>
      </w:tr>
    </w:tbl>
    <w:p w:rsidR="00073639" w:rsidRPr="00073639" w:rsidRDefault="00073639" w:rsidP="00073639">
      <w:pPr>
        <w:tabs>
          <w:tab w:val="left" w:pos="1680"/>
        </w:tabs>
        <w:rPr>
          <w:rFonts w:ascii="Times New Roman" w:hAnsi="Times New Roman" w:cs="Times New Roman"/>
          <w:sz w:val="28"/>
        </w:rPr>
      </w:pPr>
    </w:p>
    <w:sectPr w:rsidR="00073639" w:rsidRPr="00073639" w:rsidSect="00FE716A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8CA"/>
    <w:multiLevelType w:val="multilevel"/>
    <w:tmpl w:val="78C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C"/>
    <w:rsid w:val="00002C4E"/>
    <w:rsid w:val="000103E9"/>
    <w:rsid w:val="000133C7"/>
    <w:rsid w:val="0002075D"/>
    <w:rsid w:val="00025140"/>
    <w:rsid w:val="00051AFD"/>
    <w:rsid w:val="00070967"/>
    <w:rsid w:val="00073639"/>
    <w:rsid w:val="00094684"/>
    <w:rsid w:val="000E4A08"/>
    <w:rsid w:val="00151774"/>
    <w:rsid w:val="00152A48"/>
    <w:rsid w:val="00157305"/>
    <w:rsid w:val="0016185A"/>
    <w:rsid w:val="00253108"/>
    <w:rsid w:val="002A0898"/>
    <w:rsid w:val="00334D05"/>
    <w:rsid w:val="0034363B"/>
    <w:rsid w:val="00366C3A"/>
    <w:rsid w:val="00377FC9"/>
    <w:rsid w:val="003A0281"/>
    <w:rsid w:val="003B03F0"/>
    <w:rsid w:val="003C15D4"/>
    <w:rsid w:val="003C3D01"/>
    <w:rsid w:val="004146A6"/>
    <w:rsid w:val="00447F6A"/>
    <w:rsid w:val="004611E7"/>
    <w:rsid w:val="00461DC5"/>
    <w:rsid w:val="004B3691"/>
    <w:rsid w:val="004C311E"/>
    <w:rsid w:val="004E4260"/>
    <w:rsid w:val="004F6406"/>
    <w:rsid w:val="00504392"/>
    <w:rsid w:val="00516433"/>
    <w:rsid w:val="005C74FE"/>
    <w:rsid w:val="00667066"/>
    <w:rsid w:val="00667BF4"/>
    <w:rsid w:val="00690E59"/>
    <w:rsid w:val="0069670C"/>
    <w:rsid w:val="006D1B27"/>
    <w:rsid w:val="006D4867"/>
    <w:rsid w:val="00745F64"/>
    <w:rsid w:val="00776BC9"/>
    <w:rsid w:val="00823C2A"/>
    <w:rsid w:val="00835E11"/>
    <w:rsid w:val="008D1607"/>
    <w:rsid w:val="00911A6E"/>
    <w:rsid w:val="00911D7C"/>
    <w:rsid w:val="009233A9"/>
    <w:rsid w:val="00931FF3"/>
    <w:rsid w:val="009425AE"/>
    <w:rsid w:val="009515B4"/>
    <w:rsid w:val="00956923"/>
    <w:rsid w:val="00960F84"/>
    <w:rsid w:val="00991498"/>
    <w:rsid w:val="00994461"/>
    <w:rsid w:val="009A0C58"/>
    <w:rsid w:val="009B6E8A"/>
    <w:rsid w:val="009F085F"/>
    <w:rsid w:val="00A00A39"/>
    <w:rsid w:val="00A12521"/>
    <w:rsid w:val="00A1496C"/>
    <w:rsid w:val="00A35D1A"/>
    <w:rsid w:val="00A37BC0"/>
    <w:rsid w:val="00AD7C2F"/>
    <w:rsid w:val="00AE1297"/>
    <w:rsid w:val="00AE4A49"/>
    <w:rsid w:val="00AF2822"/>
    <w:rsid w:val="00B07F2D"/>
    <w:rsid w:val="00B201CE"/>
    <w:rsid w:val="00BA551C"/>
    <w:rsid w:val="00C15C4D"/>
    <w:rsid w:val="00C22306"/>
    <w:rsid w:val="00C52871"/>
    <w:rsid w:val="00C52DC3"/>
    <w:rsid w:val="00C64F0B"/>
    <w:rsid w:val="00C709FA"/>
    <w:rsid w:val="00C847DD"/>
    <w:rsid w:val="00CA3283"/>
    <w:rsid w:val="00CD607C"/>
    <w:rsid w:val="00CE0078"/>
    <w:rsid w:val="00D01EA2"/>
    <w:rsid w:val="00D81BD7"/>
    <w:rsid w:val="00D91FC5"/>
    <w:rsid w:val="00DE799F"/>
    <w:rsid w:val="00E114F3"/>
    <w:rsid w:val="00E17897"/>
    <w:rsid w:val="00E17C88"/>
    <w:rsid w:val="00E26E60"/>
    <w:rsid w:val="00E32982"/>
    <w:rsid w:val="00E46380"/>
    <w:rsid w:val="00E74CE9"/>
    <w:rsid w:val="00EB4B5D"/>
    <w:rsid w:val="00EC074F"/>
    <w:rsid w:val="00F05734"/>
    <w:rsid w:val="00F17150"/>
    <w:rsid w:val="00F240F9"/>
    <w:rsid w:val="00F342B1"/>
    <w:rsid w:val="00F421AC"/>
    <w:rsid w:val="00F815E6"/>
    <w:rsid w:val="00FB37C0"/>
    <w:rsid w:val="00FB7CC5"/>
    <w:rsid w:val="00FC2023"/>
    <w:rsid w:val="00FC3937"/>
    <w:rsid w:val="00FD0F76"/>
    <w:rsid w:val="00FD7CE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28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3A028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3A028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28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3A028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3A028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EkonomPC</dc:creator>
  <cp:lastModifiedBy>Yulia</cp:lastModifiedBy>
  <cp:revision>2</cp:revision>
  <cp:lastPrinted>2022-07-11T04:17:00Z</cp:lastPrinted>
  <dcterms:created xsi:type="dcterms:W3CDTF">2022-07-12T07:33:00Z</dcterms:created>
  <dcterms:modified xsi:type="dcterms:W3CDTF">2022-07-12T07:33:00Z</dcterms:modified>
</cp:coreProperties>
</file>