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2" w:rsidRDefault="00047816">
      <w:pPr>
        <w:spacing w:after="0" w:line="240" w:lineRule="auto"/>
        <w:ind w:right="22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DC2" w:rsidRDefault="00047816">
      <w:pPr>
        <w:spacing w:after="0" w:line="240" w:lineRule="auto"/>
        <w:ind w:right="22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11DC2" w:rsidRDefault="000478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:rsidR="00911DC2" w:rsidRDefault="000478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11DC2" w:rsidRDefault="00047816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911DC2" w:rsidRDefault="000478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15</w:t>
      </w:r>
    </w:p>
    <w:p w:rsidR="00911DC2" w:rsidRDefault="00047816">
      <w:pPr>
        <w:pStyle w:val="ConsPlusNormal"/>
        <w:spacing w:before="120" w:after="120"/>
        <w:ind w:righ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края, утвержденное решением Думы Кудымкарского муниципального округа Пермского края от 25.03.2021 № 34</w:t>
      </w:r>
    </w:p>
    <w:p w:rsidR="00911DC2" w:rsidRDefault="0004781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</w:t>
      </w:r>
      <w:hyperlink r:id="rId6">
        <w:r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Российской Федерации, Федеральным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Кудымкарского муниципального округа Пермского края Дума Кудымкарского муниципального округа Пермского края</w:t>
      </w:r>
    </w:p>
    <w:p w:rsidR="00911DC2" w:rsidRDefault="0004781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22D4B" w:rsidRPr="00C22D4B" w:rsidRDefault="00047816" w:rsidP="00C22D4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4B">
        <w:rPr>
          <w:rFonts w:ascii="Times New Roman" w:hAnsi="Times New Roman" w:cs="Times New Roman"/>
          <w:sz w:val="28"/>
          <w:szCs w:val="28"/>
        </w:rPr>
        <w:t xml:space="preserve">1. Внести в Положение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края, утвержденное решением Думы Кудымкарского муниципального округа Пермского края от 25.03.2021 № 34 </w:t>
      </w:r>
      <w:r w:rsidR="00C22D4B" w:rsidRPr="00C22D4B">
        <w:rPr>
          <w:rFonts w:ascii="Times New Roman" w:hAnsi="Times New Roman" w:cs="Times New Roman"/>
          <w:sz w:val="28"/>
          <w:szCs w:val="28"/>
        </w:rPr>
        <w:t>(в редакции решения Думы Кудымкарского муниципального округа Пермского края</w:t>
      </w:r>
    </w:p>
    <w:p w:rsidR="00911DC2" w:rsidRPr="00C22D4B" w:rsidRDefault="00C22D4B" w:rsidP="00C22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D4B">
        <w:rPr>
          <w:rFonts w:ascii="Times New Roman" w:hAnsi="Times New Roman" w:cs="Times New Roman"/>
          <w:sz w:val="28"/>
          <w:szCs w:val="28"/>
        </w:rPr>
        <w:t>от 10.11.21 №153)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7816" w:rsidRPr="00C22D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1DC2" w:rsidRDefault="0004781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1.2:</w:t>
      </w:r>
    </w:p>
    <w:p w:rsidR="00911DC2" w:rsidRDefault="0004781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«реконструкции объектов капитального строительства, эксплуатации зданий, сооружений, благоустройства территорий» заменить словами «реконструкции, сноса объектов капитального строительства, эксплуатации зданий, сооружений, комплексного развития территории и их благоустройства»;</w:t>
      </w:r>
    </w:p>
    <w:p w:rsidR="00911DC2" w:rsidRDefault="0004781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9.5 изложить в следующей редакции:</w:t>
      </w:r>
    </w:p>
    <w:p w:rsidR="00911DC2" w:rsidRDefault="0004781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«9.5. </w:t>
      </w:r>
      <w:r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месяц.»;</w:t>
      </w:r>
    </w:p>
    <w:p w:rsidR="00911DC2" w:rsidRDefault="0004781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10.3 изложить в следующей редакции:</w:t>
      </w:r>
    </w:p>
    <w:p w:rsidR="00047816" w:rsidRDefault="0004781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047816">
          <w:pgSz w:w="11906" w:h="16838"/>
          <w:pgMar w:top="363" w:right="567" w:bottom="1134" w:left="1418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«10.3.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 публичных слушаний или общественных обсуждений направляет сообщения о проведении публичных слушаний или общественных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обсуждений по проекту решения о предоставлении разрешения на условно </w:t>
      </w:r>
    </w:p>
    <w:p w:rsidR="00911DC2" w:rsidRDefault="00047816" w:rsidP="0004781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11DC2" w:rsidRDefault="0004781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10.4 изложить в следующей редакции:</w:t>
      </w:r>
    </w:p>
    <w:p w:rsidR="00911DC2" w:rsidRDefault="0004781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10.4.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или общественных обсуждениях, проводимых в порядке, установленном 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статьей 5.1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 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положений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статьи 39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ГК РФ</w:t>
      </w:r>
      <w:r>
        <w:rPr>
          <w:rFonts w:ascii="Times New Roman" w:hAnsi="Times New Roman"/>
          <w:color w:val="000000"/>
          <w:sz w:val="28"/>
          <w:szCs w:val="28"/>
        </w:rPr>
        <w:t xml:space="preserve">, за исключением случая, указанного в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части 1.1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статьи 40 ГК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11DC2" w:rsidRDefault="0004781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hyperlink r:id="rId12">
        <w:r>
          <w:rPr>
            <w:rFonts w:ascii="Times New Roman" w:hAnsi="Times New Roman" w:cs="Times New Roman"/>
            <w:color w:val="000000"/>
            <w:sz w:val="28"/>
            <w:szCs w:val="28"/>
          </w:rPr>
          <w:t>»;</w:t>
        </w:r>
      </w:hyperlink>
    </w:p>
    <w:p w:rsidR="00911DC2" w:rsidRDefault="00C22D4B">
      <w:pPr>
        <w:pStyle w:val="ConsPlusNormal"/>
        <w:ind w:firstLine="540"/>
        <w:jc w:val="both"/>
      </w:pPr>
      <w:hyperlink r:id="rId13">
        <w:r w:rsidR="00047816">
          <w:rPr>
            <w:rFonts w:ascii="Times New Roman" w:hAnsi="Times New Roman" w:cs="Times New Roman"/>
            <w:sz w:val="28"/>
            <w:szCs w:val="28"/>
          </w:rPr>
          <w:t>1.5. Пункт 10.6 изложить в следующей редакции:</w:t>
        </w:r>
      </w:hyperlink>
    </w:p>
    <w:p w:rsidR="00911DC2" w:rsidRDefault="00C22D4B">
      <w:pPr>
        <w:pStyle w:val="ConsPlusNormal"/>
        <w:ind w:firstLine="540"/>
        <w:jc w:val="both"/>
      </w:pPr>
      <w:hyperlink r:id="rId14">
        <w:r w:rsidR="00047816">
          <w:rPr>
            <w:rFonts w:ascii="Times New Roman" w:hAnsi="Times New Roman" w:cs="Times New Roman"/>
            <w:sz w:val="28"/>
            <w:szCs w:val="28"/>
          </w:rPr>
          <w:t xml:space="preserve">«10.6. </w:t>
        </w:r>
        <w:r w:rsidR="00047816">
          <w:rPr>
            <w:rFonts w:ascii="Times New Roman" w:hAnsi="Times New Roman"/>
            <w:sz w:val="28"/>
            <w:szCs w:val="28"/>
          </w:rPr>
  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</w:r>
        <w:r w:rsidR="00047816">
          <w:rPr>
            <w:rFonts w:ascii="Times New Roman" w:hAnsi="Times New Roman" w:cs="Times New Roman"/>
            <w:sz w:val="28"/>
            <w:szCs w:val="28"/>
          </w:rPr>
          <w:t>».</w:t>
        </w:r>
      </w:hyperlink>
    </w:p>
    <w:p w:rsidR="00911DC2" w:rsidRDefault="00C22D4B">
      <w:pPr>
        <w:pStyle w:val="ConsPlusNormal"/>
        <w:ind w:firstLine="540"/>
        <w:jc w:val="both"/>
      </w:pPr>
      <w:hyperlink r:id="rId15">
        <w:r w:rsidR="00047816">
          <w:rPr>
            <w:rFonts w:ascii="Times New Roman" w:hAnsi="Times New Roman" w:cs="Times New Roman"/>
            <w:sz w:val="28"/>
            <w:szCs w:val="28"/>
          </w:rPr>
          <w:t>1.6. Пункт 10.7 изложить в следующей редакции:</w:t>
        </w:r>
      </w:hyperlink>
    </w:p>
    <w:p w:rsidR="00911DC2" w:rsidRDefault="00C22D4B">
      <w:pPr>
        <w:pStyle w:val="ConsPlusNormal"/>
        <w:ind w:firstLine="540"/>
        <w:jc w:val="both"/>
      </w:pPr>
      <w:hyperlink r:id="rId16">
        <w:r w:rsidR="00047816">
          <w:rPr>
            <w:rFonts w:ascii="Times New Roman" w:hAnsi="Times New Roman" w:cs="Times New Roman"/>
            <w:sz w:val="28"/>
            <w:szCs w:val="28"/>
          </w:rPr>
          <w:t xml:space="preserve">«10.7. </w:t>
        </w:r>
        <w:r w:rsidR="00047816">
          <w:rPr>
            <w:rFonts w:ascii="Times New Roman" w:hAnsi="Times New Roman"/>
            <w:sz w:val="28"/>
            <w:szCs w:val="28"/>
          </w:rPr>
          <w:t>На основании заключения о результатах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округа - главе администрации.</w:t>
        </w:r>
        <w:r w:rsidR="00047816">
          <w:rPr>
            <w:rFonts w:ascii="Times New Roman" w:hAnsi="Times New Roman" w:cs="Times New Roman"/>
            <w:sz w:val="28"/>
            <w:szCs w:val="28"/>
          </w:rPr>
          <w:t>».</w:t>
        </w:r>
      </w:hyperlink>
    </w:p>
    <w:p w:rsidR="00911DC2" w:rsidRDefault="00C22D4B">
      <w:pPr>
        <w:pStyle w:val="ConsPlusNormal"/>
        <w:ind w:firstLine="540"/>
        <w:jc w:val="both"/>
      </w:pPr>
      <w:hyperlink r:id="rId17">
        <w:r w:rsidR="00047816">
          <w:rPr>
            <w:rFonts w:ascii="Times New Roman" w:hAnsi="Times New Roman" w:cs="Times New Roman"/>
            <w:sz w:val="28"/>
            <w:szCs w:val="28"/>
          </w:rPr>
          <w:t xml:space="preserve">2. </w:t>
        </w:r>
        <w:r w:rsidR="00047816">
          <w:rPr>
            <w:rFonts w:ascii="Times New Roman" w:eastAsia="Calibri" w:hAnsi="Times New Roman"/>
            <w:sz w:val="28"/>
            <w:szCs w:val="28"/>
            <w:lang w:eastAsia="en-US"/>
          </w:rPr>
          <w:t xml:space="preserve">Опубликовать настоящее решение в газете «Иньвенский край» </w:t>
        </w:r>
        <w:r w:rsidR="00047816">
          <w:rPr>
            <w:rFonts w:ascii="Times New Roman" w:hAnsi="Times New Roman"/>
            <w:sz w:val="28"/>
            <w:szCs w:val="28"/>
          </w:rPr>
          <w:t xml:space="preserve">и </w:t>
        </w:r>
        <w:r w:rsidR="00047816">
          <w:rPr>
            <w:rFonts w:ascii="Times New Roman" w:hAnsi="Times New Roman"/>
            <w:sz w:val="28"/>
            <w:szCs w:val="28"/>
          </w:rPr>
          <w:lastRenderedPageBreak/>
          <w:t>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 w:rsidR="00047816">
          <w:rPr>
            <w:rFonts w:ascii="Times New Roman" w:eastAsia="Calibri" w:hAnsi="Times New Roman"/>
            <w:sz w:val="28"/>
            <w:szCs w:val="28"/>
            <w:lang w:eastAsia="en-US"/>
          </w:rPr>
          <w:t>.</w:t>
        </w:r>
      </w:hyperlink>
    </w:p>
    <w:p w:rsidR="00911DC2" w:rsidRDefault="00C22D4B">
      <w:pPr>
        <w:spacing w:after="0" w:line="240" w:lineRule="auto"/>
        <w:ind w:firstLine="540"/>
        <w:jc w:val="both"/>
      </w:pPr>
      <w:hyperlink r:id="rId18">
        <w:r w:rsidR="00047816">
          <w:rPr>
            <w:rFonts w:ascii="Times New Roman" w:hAnsi="Times New Roman"/>
            <w:bCs/>
            <w:sz w:val="28"/>
            <w:szCs w:val="28"/>
          </w:rPr>
          <w:t>3. Настоящее решение вступает в силу после его официального опубликования в газете «Иньвенский край».</w:t>
        </w:r>
      </w:hyperlink>
    </w:p>
    <w:p w:rsidR="00911DC2" w:rsidRDefault="00911DC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200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911DC2">
        <w:trPr>
          <w:trHeight w:val="80"/>
        </w:trPr>
        <w:tc>
          <w:tcPr>
            <w:tcW w:w="5100" w:type="dxa"/>
          </w:tcPr>
          <w:p w:rsidR="00911DC2" w:rsidRDefault="00C22D4B">
            <w:pPr>
              <w:widowControl w:val="0"/>
              <w:spacing w:after="0" w:line="240" w:lineRule="auto"/>
            </w:pPr>
            <w:hyperlink r:id="rId19">
              <w:r w:rsidR="00047816">
                <w:rPr>
                  <w:rFonts w:ascii="Times New Roman" w:hAnsi="Times New Roman"/>
                  <w:sz w:val="28"/>
                  <w:szCs w:val="28"/>
                </w:rPr>
                <w:t>Председатель Думы</w:t>
              </w:r>
            </w:hyperlink>
          </w:p>
          <w:p w:rsidR="00911DC2" w:rsidRDefault="00C22D4B">
            <w:pPr>
              <w:widowControl w:val="0"/>
              <w:spacing w:after="0" w:line="240" w:lineRule="auto"/>
            </w:pPr>
            <w:hyperlink r:id="rId20">
              <w:r w:rsidR="00047816">
                <w:rPr>
                  <w:rFonts w:ascii="Times New Roman" w:hAnsi="Times New Roman"/>
                  <w:sz w:val="28"/>
                  <w:szCs w:val="28"/>
                </w:rPr>
                <w:t>Кудымкарского муниципального округа Пермского края</w:t>
              </w:r>
            </w:hyperlink>
          </w:p>
          <w:p w:rsidR="00911DC2" w:rsidRDefault="00911DC2">
            <w:pPr>
              <w:widowControl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911DC2" w:rsidRDefault="00C22D4B">
            <w:pPr>
              <w:widowControl w:val="0"/>
              <w:spacing w:after="0" w:line="240" w:lineRule="auto"/>
              <w:jc w:val="right"/>
            </w:pPr>
            <w:hyperlink r:id="rId21">
              <w:r w:rsidR="00047816">
                <w:rPr>
                  <w:rFonts w:ascii="Times New Roman" w:hAnsi="Times New Roman"/>
                  <w:sz w:val="28"/>
                  <w:szCs w:val="28"/>
                </w:rPr>
                <w:t>М.А. Петров</w:t>
              </w:r>
            </w:hyperlink>
          </w:p>
        </w:tc>
        <w:tc>
          <w:tcPr>
            <w:tcW w:w="5100" w:type="dxa"/>
          </w:tcPr>
          <w:p w:rsidR="00911DC2" w:rsidRDefault="00C22D4B">
            <w:pPr>
              <w:widowControl w:val="0"/>
              <w:spacing w:after="0" w:line="240" w:lineRule="auto"/>
              <w:jc w:val="both"/>
            </w:pPr>
            <w:hyperlink r:id="rId22">
              <w:r w:rsidR="00047816">
                <w:rPr>
                  <w:rFonts w:ascii="Times New Roman" w:hAnsi="Times New Roman"/>
                  <w:sz w:val="28"/>
                  <w:szCs w:val="28"/>
                </w:rPr>
                <w:t>Глава муниципального округа – глава администрации Кудымкарского муниципального округа Пермского края</w:t>
              </w:r>
            </w:hyperlink>
          </w:p>
          <w:p w:rsidR="00911DC2" w:rsidRDefault="00911DC2">
            <w:pPr>
              <w:widowControl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911DC2" w:rsidRDefault="00C22D4B">
            <w:pPr>
              <w:widowControl w:val="0"/>
              <w:spacing w:after="0" w:line="240" w:lineRule="auto"/>
              <w:jc w:val="right"/>
            </w:pPr>
            <w:hyperlink r:id="rId23">
              <w:r w:rsidR="00047816">
                <w:rPr>
                  <w:rFonts w:ascii="Times New Roman" w:hAnsi="Times New Roman"/>
                  <w:sz w:val="28"/>
                  <w:szCs w:val="28"/>
                </w:rPr>
                <w:t>А.В. Плотников</w:t>
              </w:r>
            </w:hyperlink>
          </w:p>
        </w:tc>
      </w:tr>
    </w:tbl>
    <w:p w:rsidR="00911DC2" w:rsidRDefault="00911DC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9D0037" w:rsidRDefault="009D0037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9D0037" w:rsidSect="00047816">
      <w:type w:val="continuous"/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911DC2"/>
    <w:rsid w:val="00047816"/>
    <w:rsid w:val="00911DC2"/>
    <w:rsid w:val="009D0037"/>
    <w:rsid w:val="00C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8CC0-4F5D-4BDC-B15C-75B7F2C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6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F1362"/>
    <w:pPr>
      <w:widowControl w:val="0"/>
    </w:pPr>
    <w:rPr>
      <w:rFonts w:eastAsia="Times New Roman" w:cs="Calibri"/>
      <w:szCs w:val="20"/>
    </w:rPr>
  </w:style>
  <w:style w:type="paragraph" w:customStyle="1" w:styleId="ConsPlusTitle">
    <w:name w:val="ConsPlusTitle"/>
    <w:qFormat/>
    <w:rsid w:val="007F1362"/>
    <w:pPr>
      <w:widowControl w:val="0"/>
    </w:pPr>
    <w:rPr>
      <w:rFonts w:eastAsia="Times New Roman" w:cs="Calibri"/>
      <w:b/>
      <w:szCs w:val="20"/>
    </w:rPr>
  </w:style>
  <w:style w:type="paragraph" w:styleId="aa">
    <w:name w:val="Normal (Web)"/>
    <w:basedOn w:val="a"/>
    <w:uiPriority w:val="99"/>
    <w:unhideWhenUsed/>
    <w:qFormat/>
    <w:rsid w:val="00136B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6B23"/>
    <w:pPr>
      <w:ind w:left="720"/>
      <w:contextualSpacing/>
    </w:pPr>
  </w:style>
  <w:style w:type="paragraph" w:customStyle="1" w:styleId="consplusnormalmailrucssattributepostfix">
    <w:name w:val="consplusnormal_mailru_css_attribute_postfix"/>
    <w:basedOn w:val="a"/>
    <w:qFormat/>
    <w:rsid w:val="00EB47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73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C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F1D021D220750701DE70DC28F1FA10D4C5CFDC3463C4E45389A2254757E883AF134E80D13FE774BDAFED2E5179579FB11CEF30l1H" TargetMode="External"/><Relationship Id="rId1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18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6C0833C8E69987F35523EFDD37BE7D7E0C0E827DDE2CF8AD4482C39883646591A4138FF16F0251BDD2EB404588D275B634F6A0ED2434lFH" TargetMode="External"/><Relationship Id="rId12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1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20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833C8E69987F35523EFDD37BE7D7E0C0E827DDE2BF8AD4482C39883646591A4138FF467055BE2D7FE511D85DA63A830ECBCEF264D37l9H" TargetMode="External"/><Relationship Id="rId11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2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10" Type="http://schemas.openxmlformats.org/officeDocument/2006/relationships/hyperlink" Target="consultantplus://offline/ref=BB5ED651029A7797A8AB2BFB703B58EAC146A20DE5DD61873215C97E4337C5A311990A4DA7F9FB1BFA79F6F38EB9A67C36F00A432BADC1A2m9Z6K" TargetMode="External"/><Relationship Id="rId19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ED651029A7797A8AB2BFB703B58EAC146A20DE5DD61873215C97E4337C5A311990A4EA6F9F911AB23E6F7C7EDAA6337EC144335ADmCZ3K" TargetMode="External"/><Relationship Id="rId1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22" Type="http://schemas.openxmlformats.org/officeDocument/2006/relationships/hyperlink" Target="consultantplus://offline/ref=BB5ED651029A7797A8AB2BFB703B58EAC146A20DE5DD61873215C97E4337C5A311990A4FA6FBFA11AB23E6F7C7EDAA6337EC144335ADmC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B4D-6552-4177-A505-0B347B5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1329</Words>
  <Characters>7580</Characters>
  <Application>Microsoft Office Word</Application>
  <DocSecurity>0</DocSecurity>
  <Lines>63</Lines>
  <Paragraphs>17</Paragraphs>
  <ScaleCrop>false</ScaleCrop>
  <Company>КонсультантПлюс Версия 4021.00.60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30.12.2021)(с изм. и доп., вступ. в силу с 01.01.2022)</dc:title>
  <dc:subject/>
  <dc:creator>ХорошеваГМ</dc:creator>
  <dc:description/>
  <cp:lastModifiedBy>User</cp:lastModifiedBy>
  <cp:revision>38</cp:revision>
  <cp:lastPrinted>2022-02-15T09:23:00Z</cp:lastPrinted>
  <dcterms:created xsi:type="dcterms:W3CDTF">2022-02-14T11:33:00Z</dcterms:created>
  <dcterms:modified xsi:type="dcterms:W3CDTF">2022-03-03T04:43:00Z</dcterms:modified>
  <dc:language>ru-RU</dc:language>
</cp:coreProperties>
</file>