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14985" cy="6464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9" t="-71" r="-89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" w:cs="Arial"/>
          <w:b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ДУМА</w:t>
      </w:r>
    </w:p>
    <w:p>
      <w:pPr>
        <w:pStyle w:val="Normal"/>
        <w:jc w:val="center"/>
        <w:rPr>
          <w:rFonts w:eastAsia="Arial" w:cs="Arial"/>
          <w:b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eastAsia="Arial" w:cs="Arial"/>
          <w:b/>
          <w:bCs/>
          <w:sz w:val="28"/>
          <w:szCs w:val="28"/>
        </w:rPr>
        <w:t>ПЕРМСКОГО КРАЯ</w:t>
      </w:r>
    </w:p>
    <w:p>
      <w:pPr>
        <w:pStyle w:val="11"/>
        <w:keepNext w:val="true"/>
        <w:jc w:val="center"/>
        <w:rPr>
          <w:rFonts w:eastAsia="Arial" w:cs="Arial"/>
          <w:b/>
          <w:b/>
          <w:bCs/>
          <w:sz w:val="28"/>
          <w:szCs w:val="28"/>
          <w:lang w:val="ru-RU"/>
        </w:rPr>
      </w:pPr>
      <w:r>
        <w:rPr>
          <w:rFonts w:eastAsia="Arial" w:cs="Arial"/>
          <w:b/>
          <w:bCs/>
          <w:sz w:val="28"/>
          <w:szCs w:val="28"/>
          <w:lang w:val="ru-RU"/>
        </w:rPr>
        <w:t>Р Е Ш Е Н И Е</w:t>
      </w:r>
    </w:p>
    <w:p>
      <w:pPr>
        <w:pStyle w:val="Normal"/>
        <w:rPr>
          <w:rFonts w:eastAsia="Arial"/>
          <w:lang w:bidi="en-US"/>
        </w:rPr>
      </w:pPr>
      <w:r>
        <w:rPr>
          <w:rFonts w:eastAsia="Arial"/>
          <w:lang w:bidi="en-US"/>
        </w:rPr>
      </w:r>
    </w:p>
    <w:p>
      <w:pPr>
        <w:pStyle w:val="Normal"/>
        <w:spacing w:lineRule="auto" w:line="360"/>
        <w:rPr>
          <w:sz w:val="28"/>
          <w:lang w:bidi="en-US"/>
        </w:rPr>
      </w:pPr>
      <w:r>
        <w:rPr>
          <w:rFonts w:eastAsia="Times New Roman" w:cs="Times New Roman"/>
          <w:color w:val="auto"/>
          <w:kern w:val="0"/>
          <w:sz w:val="28"/>
          <w:szCs w:val="24"/>
          <w:lang w:val="ru-RU" w:eastAsia="zh-CN" w:bidi="en-US"/>
        </w:rPr>
        <w:t>24</w:t>
      </w:r>
      <w:r>
        <w:rPr>
          <w:sz w:val="28"/>
          <w:lang w:bidi="en-US"/>
        </w:rPr>
        <w:t>.02.2022</w:t>
        <w:tab/>
        <w:tab/>
        <w:tab/>
        <w:tab/>
        <w:tab/>
        <w:tab/>
        <w:tab/>
        <w:tab/>
        <w:tab/>
        <w:tab/>
        <w:tab/>
        <w:tab/>
        <w:t>№ 13</w:t>
      </w:r>
    </w:p>
    <w:p>
      <w:pPr>
        <w:pStyle w:val="Normal"/>
        <w:ind w:right="794" w:hanging="0"/>
        <w:jc w:val="both"/>
        <w:rPr>
          <w:b/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О внесении изменений в Правила благоустройства территории Кудымкарского муниципального округа Пермского края, утвержденные решением Думы Кудымкарского муниципального округа Пермского края от 24.11.2020 № 188</w:t>
      </w:r>
    </w:p>
    <w:p>
      <w:pPr>
        <w:pStyle w:val="Normal"/>
        <w:tabs>
          <w:tab w:val="clear" w:pos="708"/>
          <w:tab w:val="left" w:pos="506" w:leader="none"/>
        </w:tabs>
        <w:ind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</w:r>
    </w:p>
    <w:p>
      <w:pPr>
        <w:pStyle w:val="Normal"/>
        <w:tabs>
          <w:tab w:val="clear" w:pos="708"/>
          <w:tab w:val="left" w:pos="506" w:leader="none"/>
        </w:tabs>
        <w:ind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приказом Министерства строительства и архитектуры Пермского края от 04.06.2018 № СЭД-35-01-12-138 «Об утверждении типовых архитектурных решений к внешнему облику нестационарных торговых объектов», </w:t>
      </w:r>
      <w:r>
        <w:rPr>
          <w:rFonts w:eastAsia="Calibri"/>
          <w:bCs/>
          <w:sz w:val="28"/>
          <w:szCs w:val="28"/>
          <w:lang w:eastAsia="en-US" w:bidi="en-US"/>
        </w:rPr>
        <w:t>учитывая результаты общественных обсуждений по проекту решения Думы Кудымкарского муниципального округа Пермского края «</w:t>
      </w:r>
      <w:r>
        <w:rPr>
          <w:bCs/>
          <w:sz w:val="28"/>
          <w:szCs w:val="28"/>
        </w:rPr>
        <w:t xml:space="preserve">О внесении изменений в Правила благоустройства территории Кудымкарского муниципального округа Пермского края», </w:t>
      </w:r>
      <w:r>
        <w:rPr>
          <w:sz w:val="28"/>
          <w:szCs w:val="28"/>
          <w:lang w:bidi="en-US"/>
        </w:rPr>
        <w:t>утвержденные решением Думы Кудымкарского муниципального округа Пермского края от 24.11.2020 № 188</w:t>
      </w:r>
      <w:r>
        <w:rPr>
          <w:bCs/>
          <w:sz w:val="28"/>
          <w:szCs w:val="28"/>
        </w:rPr>
        <w:t xml:space="preserve">», отраженные в итоговом протоколе от 31.01.2022 № 1, руководствуясь статьей 23 Устава Кудымкарского муниципального округа Пермского края, </w:t>
      </w:r>
      <w:r>
        <w:rPr>
          <w:rFonts w:eastAsia="Calibri"/>
          <w:bCs/>
          <w:sz w:val="28"/>
          <w:szCs w:val="28"/>
          <w:lang w:eastAsia="en-US" w:bidi="en-US"/>
        </w:rPr>
        <w:t>Дума Кудымкарского муниципального округа Пермского края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РЕШАЕТ: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1. Внести в Правила благоустройства территории Кудымкарского муниципального округа Пермского края, утвержденные решением Думы Кудымкарского муниципального округа Пермского края от 24.11.2020 № 188 «</w:t>
      </w:r>
      <w:r>
        <w:rPr>
          <w:bCs/>
          <w:sz w:val="28"/>
          <w:szCs w:val="28"/>
        </w:rPr>
        <w:t>Об утверждении Правил благоустройства территории Кудымкарского муниципального округа Пермского края»</w:t>
      </w:r>
      <w:r>
        <w:rPr>
          <w:sz w:val="28"/>
          <w:szCs w:val="28"/>
          <w:lang w:bidi="en-US"/>
        </w:rPr>
        <w:t xml:space="preserve"> следующие изменения: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1.1. в пункте 11.1. раздела </w:t>
      </w:r>
      <w:r>
        <w:rPr>
          <w:sz w:val="28"/>
          <w:szCs w:val="28"/>
          <w:lang w:val="en-US" w:bidi="en-US"/>
        </w:rPr>
        <w:t>XI</w:t>
      </w:r>
      <w:r>
        <w:rPr>
          <w:sz w:val="28"/>
          <w:szCs w:val="28"/>
          <w:lang w:bidi="en-US"/>
        </w:rPr>
        <w:t>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1.1.1. подпункт 11.1.1 изложить в следующей редакции: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«11.1.1. </w:t>
      </w:r>
      <w:r>
        <w:rPr>
          <w:sz w:val="28"/>
          <w:szCs w:val="28"/>
        </w:rPr>
        <w:t>На придомовой территории размещаются основные объекты и элементы благоустройства, а также дополнительные объекты и элементы благоустройства, которые должны быть установлены в соответствии с установленными требованиями и включают в себя: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планировочные элементы;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малые архитектурные формы и оборудование;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дорожки и подъезды к жилым домам;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искусственное освещение дворовых территорий.»;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подпункт 11.1.2 изложить в следующей редакции:</w:t>
      </w:r>
    </w:p>
    <w:p>
      <w:pPr>
        <w:sectPr>
          <w:type w:val="nextPage"/>
          <w:pgSz w:w="11906" w:h="16838"/>
          <w:pgMar w:left="1418" w:right="567" w:header="0" w:top="363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«11.1.2. </w:t>
      </w:r>
      <w:bookmarkStart w:id="0" w:name="Par5"/>
      <w:bookmarkEnd w:id="0"/>
      <w:r>
        <w:rPr>
          <w:sz w:val="28"/>
          <w:szCs w:val="28"/>
        </w:rPr>
        <w:t>К основным объектам и элементам благоустройства придомовой территории (далее - основные элементы благоустройства) относятся: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детские и (или) спортивные площадки и (или) площадки для отдыха либо скамейки для отдыха;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озеленение, включая цветники, газоны;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тротуары и (или) внутренние проезды;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места (площадки) накопления твердых коммунальных отходов (при условии отсутствия в соответствующем многоквартирном доме мусоропровода или при его не функционировании, а также отсутствия иных способов накопления и сбора твердых коммунальных отходов);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урны;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элементы освещения;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парковка (парковочные места), и (или) ограждение (включая шлагбаум), и (или) нестационарное помещение поста охраны.»;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 подпункт 11.1.5 изложить в следующей редакции:</w:t>
      </w:r>
    </w:p>
    <w:p>
      <w:pPr>
        <w:pStyle w:val="Normal"/>
        <w:tabs>
          <w:tab w:val="clear" w:pos="708"/>
          <w:tab w:val="left" w:pos="515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«11.1.5. В состав хозяйственных площадок входят площадки для сушки белья, площадки для чистки мебели и ковров.</w:t>
      </w:r>
    </w:p>
    <w:p>
      <w:pPr>
        <w:pStyle w:val="Normal"/>
        <w:tabs>
          <w:tab w:val="clear" w:pos="708"/>
          <w:tab w:val="left" w:pos="515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на площадки организовывается с пешеходной дорожки и тропинок. На хозяйственной площадке должны быть столбы для сушки белья, вешалки, ящик с песком. Расстояние от хозяйственной площадки до окон жилых домов должно составлять не менее 20 м.</w:t>
      </w:r>
    </w:p>
    <w:p>
      <w:pPr>
        <w:pStyle w:val="Normal"/>
        <w:tabs>
          <w:tab w:val="clear" w:pos="708"/>
          <w:tab w:val="left" w:pos="515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площадок разного назначения на 1000 жителей принимаются из расчета:</w:t>
      </w:r>
    </w:p>
    <w:p>
      <w:pPr>
        <w:pStyle w:val="Normal"/>
        <w:tabs>
          <w:tab w:val="clear" w:pos="708"/>
          <w:tab w:val="left" w:pos="561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контейнеров - 30 кв. м;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бункеров-накопителей крупногабаритных отходов - 15 кв. м;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чистки мебели, ковров - 100 кв. м.»;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 подпункт 11.1.6 изложить в следующей редакции: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«11.1.6. Дополнительными объектами и элементами благоустройства придомовой территории (далее - дополнительные элементы благоустройства) являются объекты и элементы благоустройства придомовой территории, не относящиеся к основным элементам благоустройства, в том числе некапитальные нестационарные строения и сооружения.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11.1.6.1. Дополнительные элементы благоустройства могут быть размещены (расположены) на придомовой территории при условии: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наличия на соответствующей придомовой территории основных элементов благоустройства, указанных в </w:t>
      </w:r>
      <w:hyperlink w:anchor="Par5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11.1.2 настоящего раздела, соответствующих по своим характеристикам законодательству Российской Федерации, национальным стандартам Российской Федерации, региональным (местным) нормативам градостроительного проектирования, правилам землепользования и застройки Кудымкарского муниципального округа Пермского края, правилам благоустройства территории Кудымкарского муниципального округа Пермского края;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оформления паспорта благоустройства с указанием мест(а) размещения дополнительных элементов благоустройства на придомовой территории.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11.1.6.2. Паспорт благоустройства разрабатывается по инициативе любого заинтересованного лица (далее - разработчик) для определения на придомовой территории мест размещения и характеристик дополнительных элементов благоустройства.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(далее - решение собственников).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 паспорте благоустройства фиксируются структура и состояние благоустройства придомовой территории, в том числе основные и дополнительные элементы благоустройства, а также места размещения и характеристики дополнительных элементов благоустройства.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Разработчик уведомляет администрацию муниципального округа о разработке паспорта благоустройства путем направления паспорта благоустройства и решения собственников в порядке, установленном муниципальным правовым актом.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11.1.6.3. Паспорта благоустройства подлежат учету администрацией муниципального округа в порядке, установленном муниципальным правовым актом.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Форма паспорта благоустройства устанавливается Правительством Пермского края.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11.1.6.4. Дополнительные элементы благоустройства размещаются (располагаются) таким образом, чтобы исключалась погрузка (выгрузка) имущества в них (из них) с основных элементов благоустройства, а также чтобы не создавались препятствия для использования и (или) эксплуатации основных элементов благоустройства.»;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1.1.5. подпункт 11.1.16 изложить в следующей редакции: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«11.1.16. Дворовые уборные, выгребы должны соответствовать действующим санитарным правилам и нормам, соответственно очищаться, дезинфицироваться, содержаться в исправном состоянии.»;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bidi="en-US"/>
        </w:rPr>
        <w:t xml:space="preserve">1.2. раздел </w:t>
      </w:r>
      <w:r>
        <w:rPr>
          <w:color w:val="000000"/>
          <w:sz w:val="28"/>
          <w:szCs w:val="28"/>
          <w:lang w:val="en-US" w:bidi="en-US"/>
        </w:rPr>
        <w:t>XII</w:t>
      </w:r>
      <w:r>
        <w:rPr>
          <w:color w:val="000000"/>
          <w:sz w:val="28"/>
          <w:szCs w:val="28"/>
          <w:lang w:bidi="en-US"/>
        </w:rPr>
        <w:t>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bidi="en-US"/>
        </w:rPr>
        <w:t xml:space="preserve">1.2.1. </w:t>
      </w:r>
      <w:r>
        <w:rPr>
          <w:color w:val="000000"/>
          <w:sz w:val="28"/>
          <w:szCs w:val="28"/>
        </w:rPr>
        <w:t>подпункт 12.1.7. пункта 12.1. изложить в следующей редакции: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«12.1.7. Самовольная пересадка и вырубка деревьев, кустарников, в том числе больных и сухостойных, растущих в границах земельных участков, находящихся в муниципальной собственности муниципального округа, а также земельных участков (земель), государственная собственность на которые не разграничена, без получения соответствующего разрешения запрещены. Работы производятся только по письменному разрешению, выданного в соответствии с административным регламентом предоставления муниципальной услуги «Выдача разрешений на право вырубки зеленых насаждений», утвержденного нормативным правовым актом администрации Кудымкарского муниципального округа Пермского края.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Выдача разрешений на право вырубки зеленых насаждений не осуществляется для производства работ на землях, относящихся к землям: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лесного и водного фонда,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железнодорожного и автомобильного транспорта,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сельскохозяйственного назначения,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территории кладбищ.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Обследование зеленых насаждений производится в соответствии с Положением о комиссии по обследованию зеленых насаждений, утвержденным нормативным правовым актом администрации Кудымкарского муниципального округа Пермского края. По результатам обследования производится компенсационная посадка либо оплата восстановительной стоимости. Восстановительная стоимость зачисляется в бюджет Кудымкарского муниципального округа Пермского края. Порядок расчета восстановительной стоимости зеленых насаждений утверждается нормативным правовым актом администрации Кудымкарского муниципального округа Пермского края.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Санитарной вырубке подлежат деревья и кустарники, находящиеся в следующем состоянии: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погибшие;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сухостойные, больные;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аварийные;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деревья, расположенные на расстоянии 5 м и менее от здания, сооружения, объекта до оси ствола дерева (приведенные нормы относятся к деревьям с диаметром кроны не более 5 м);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кустарники, расположенные на расстоянии 1,5 м и менее от здания, сооружения, объекта до оси кустарника.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 санитарной вырубке деревьев и кустарников, восстановительная стоимость деревьев и кустарников не начисляется и не оплачивается.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Если зеленые насаждения подлежат пересадке, выдача разрешения производится без уплаты восстановительной стоимости.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Размер восстановительной стоимости увеличивается в 5 раз в случае: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незаконной рубки, выкапывания, уничтожения или повреждения деревьев и кустарников, запрещенных к рубке;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незаконной рубки, уничтожения или повреждения деревьев хвойных пород (для новогодних елок) в декабре-январе.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Восстановительная стоимость зеленых насаждений не взимается с юридических и физических лиц, производящих свод зеленых насаждений в целях строительства, реконструкци</w:t>
      </w:r>
      <w:bookmarkStart w:id="1" w:name="_GoBack"/>
      <w:bookmarkEnd w:id="1"/>
      <w:r>
        <w:rPr>
          <w:color w:val="000000"/>
          <w:sz w:val="28"/>
          <w:szCs w:val="28"/>
        </w:rPr>
        <w:t>и, эксплуатации линий электропередач, линий связи, дорог, трубопроводов и других линейных объектов, предотвращения аварийных ситуаций. При вырубке деревьев и кустарников, которые находятся в собственности юридических или физических лиц, восстановительная стоимость зеленых насаждений также не начисляется и не оплачивается. Восстановительная стоимость зеленых насаждений не взимается с физических лиц на земельных участках, предоставленных в аренду с видом разрешенного использования – индивидуальное жилищное строительство, строительство многоквартирных домов, домов блокированной застройки, личное подсобное хозяйство, ведение садоводства, огородничества, дачное строительство в границах населенных пунктов.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Восстановительная стоимость также не начисляется и не оплачивается в случае сноса зеленых насаждений при производстве работ, связанных с решением вопросов местного значения, выполняемых за счет бюджетных средств, работ по ликвидации аварийных и чрезвычайных ситуаций, а также в случае, если снос зеленых насаждений регулируется нормами действующего законодательства Российской Федерации.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Юридические и физические лица, оплатившие восстановительную стоимость деревьев и кустарников, вправе самостоятельно распорядиться древесиной, образовавшейся в ходе причинения вынужденного ущерба зеленым насаждениям, в том числе реализовать ее.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Собственники земельных участков производят свод зеленых насаждений в пределах границ участка самостоятельно.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Свод и подрезка ветвей деревьев и кустарников в зонах озеленения производятся: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на земельных участках в районах индивидуальной застройки - за счет средств собственников этих земельных участков;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на территориях парков, скверов - муниципальным учреждением, наделенным полномочиями по решению вопросов местного значения, либо администрацией парков, либо по договору со специализированной организацией;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на территориях учебных заведений, детских дошкольных учреждений, больниц, промышленных предприятий, государственных учреждений и т.д. - за счет средств соответствующих предприятий, организаций и учреждений либо по договору со специализированной организацией;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на земельных участках, предоставленных для размещения объектов капитального и некапитального строительства, - собственниками (арендаторами) указанных земельных участков.»;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bidi="en-US"/>
        </w:rPr>
        <w:t>1.2.2. подпункт 12.7.5. пункта 12.7. дополнить абзацем следующего содержания: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bidi="en-US"/>
        </w:rPr>
        <w:t>«Внешний облик нестационарного торгового объекта должен соответствовать нормативным правовым актам Кудымкарского муниципального округа Пермского края.».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2. </w:t>
      </w:r>
      <w:hyperlink r:id="rId3">
        <w:r>
          <w:rPr>
            <w:rFonts w:eastAsia="Calibri"/>
            <w:color w:val="000000"/>
            <w:sz w:val="28"/>
            <w:szCs w:val="28"/>
            <w:lang w:eastAsia="en-US"/>
          </w:rPr>
          <w:t xml:space="preserve">Опубликовать настоящее решение в газете «Иньвенский край» </w:t>
        </w:r>
        <w:r>
          <w:rPr>
            <w:color w:val="000000"/>
            <w:sz w:val="28"/>
            <w:szCs w:val="28"/>
          </w:rPr>
          <w:t>и разместить на официальном сайте Кудымкарского муниципального округа Пермского края в информационно-телекоммуникационной сети «Интернет»</w:t>
        </w:r>
        <w:r>
          <w:rPr>
            <w:rFonts w:eastAsia="Calibri"/>
            <w:color w:val="000000"/>
            <w:sz w:val="28"/>
            <w:szCs w:val="28"/>
            <w:lang w:eastAsia="en-US"/>
          </w:rPr>
          <w:t>.</w:t>
        </w:r>
      </w:hyperlink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c"/>
        <w:tblW w:w="10203" w:type="dxa"/>
        <w:jc w:val="left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9"/>
        <w:gridCol w:w="5093"/>
      </w:tblGrid>
      <w:tr>
        <w:trPr/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Председатель Думы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9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М.А. Петров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9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А.В. Плотников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0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451439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b0d2f"/>
    <w:rPr>
      <w:rFonts w:ascii="Segoe UI" w:hAnsi="Segoe UI" w:eastAsia="Times New Roman" w:cs="Segoe UI"/>
      <w:sz w:val="18"/>
      <w:szCs w:val="18"/>
      <w:lang w:eastAsia="zh-CN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next w:val="Normal"/>
    <w:qFormat/>
    <w:rsid w:val="004200d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uiPriority w:val="99"/>
    <w:semiHidden/>
    <w:unhideWhenUsed/>
    <w:qFormat/>
    <w:rsid w:val="001b0d2f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6b2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4200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LibreOffice/7.1.0.3$Windows_X86_64 LibreOffice_project/f6099ecf3d29644b5008cc8f48f42f4a40986e4c</Application>
  <AppVersion>15.0000</AppVersion>
  <Pages>5</Pages>
  <Words>1391</Words>
  <Characters>10544</Characters>
  <CharactersWithSpaces>11865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2022-02-01T06:21:00Z</dcterms:created>
  <dc:creator>EkonomPC</dc:creator>
  <dc:description/>
  <dc:language>ru-RU</dc:language>
  <cp:lastModifiedBy/>
  <cp:lastPrinted>2022-02-25T09:18:45Z</cp:lastPrinted>
  <dcterms:modified xsi:type="dcterms:W3CDTF">2022-02-25T09:19:23Z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